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CE9" w:rsidRPr="005D5125" w:rsidRDefault="00135CE9" w:rsidP="00135CE9">
      <w:pPr>
        <w:bidi/>
        <w:jc w:val="center"/>
        <w:rPr>
          <w:rFonts w:cs="David" w:hint="cs"/>
          <w:b/>
          <w:bCs/>
          <w:sz w:val="28"/>
          <w:szCs w:val="28"/>
          <w:rtl/>
          <w:lang w:bidi="he-IL"/>
        </w:rPr>
      </w:pPr>
      <w:r>
        <w:rPr>
          <w:rFonts w:cs="David" w:hint="cs"/>
          <w:b/>
          <w:bCs/>
          <w:sz w:val="28"/>
          <w:szCs w:val="28"/>
          <w:rtl/>
          <w:lang w:bidi="he-IL"/>
        </w:rPr>
        <w:t>בענין חיוב טבילת כלים</w:t>
      </w:r>
      <w:r w:rsidRPr="005D5125">
        <w:rPr>
          <w:rFonts w:cs="David" w:hint="cs"/>
          <w:b/>
          <w:bCs/>
          <w:sz w:val="28"/>
          <w:szCs w:val="28"/>
          <w:rtl/>
          <w:lang w:bidi="he-IL"/>
        </w:rPr>
        <w:t xml:space="preserve"> למגש חלות</w:t>
      </w:r>
    </w:p>
    <w:p w:rsidR="00135CE9" w:rsidRDefault="00135CE9" w:rsidP="00135CE9">
      <w:pPr>
        <w:bidi/>
        <w:rPr>
          <w:rFonts w:cs="David" w:hint="cs"/>
          <w:sz w:val="28"/>
          <w:szCs w:val="28"/>
          <w:rtl/>
          <w:lang w:bidi="he-IL"/>
        </w:rPr>
      </w:pPr>
      <w:r>
        <w:rPr>
          <w:rFonts w:cs="David" w:hint="cs"/>
          <w:sz w:val="28"/>
          <w:szCs w:val="28"/>
          <w:rtl/>
          <w:lang w:bidi="he-IL"/>
        </w:rPr>
        <w:t xml:space="preserve">א) מהשאלות המצויות בדיני טבילת כלים הוא דין טבילה למגש חלות. ודגם מצוי הוא חתיכת עץ שיש עליו ציור וכדומה של כסף. ועליו מחברים מלמעלה דף פשוט של זכוכית. לפעמים החיבור הוא ע"י ברגים בחורים בפינות הזכוכית, ולפעמים הוא מחובר ע"י דבק מסביב הזכוכית שנכנס במקצת לתוך העץ, ויושב ע"ג הציור של כסף. הסוג המחוברת על ידי הברגים אפשר להוציאו בקלות ע"י פתיחת הברגים, ואילו הסוג שמחובר ע"י דבק אינו יוצא מתוך העץ כלל. ויש לדון האם כלי זו חייב טבילה בכלל, ואם כן האם חייבים לטבול אותו בשלימות עם כל חלקיו, או דילמא אפשר להוציא הזכוכית ולטובלו לבד, ושוב לחברו להעץ. והנחיצות בזה שהרבה חוששים מלטבול המגש עם העץ אולי יגרום נזק להעץ וביותר לציור הכסף שעליו. </w:t>
      </w:r>
    </w:p>
    <w:p w:rsidR="00135CE9" w:rsidRDefault="00135CE9" w:rsidP="00135CE9">
      <w:pPr>
        <w:bidi/>
        <w:rPr>
          <w:rFonts w:cs="David" w:hint="cs"/>
          <w:sz w:val="28"/>
          <w:szCs w:val="28"/>
          <w:rtl/>
          <w:lang w:bidi="he-IL"/>
        </w:rPr>
      </w:pPr>
      <w:r>
        <w:rPr>
          <w:rFonts w:cs="David" w:hint="cs"/>
          <w:sz w:val="28"/>
          <w:szCs w:val="28"/>
          <w:rtl/>
          <w:lang w:bidi="he-IL"/>
        </w:rPr>
        <w:t xml:space="preserve">ב) והנה, כיון שהחלות יושבים רק על הזכוכית, ועליו חותכים אותם. ודאי שא"א לומר שהזכוכית הוי בטל לגבי העץ מתחתיו, דעיקר הכלי סעודה בכאן הוא הזכוכית. שבטבילת כלים מבואר בתוספות ע"ז [עה: ד"ה הילכתא] שעיקר הכלי הוא מקום השתמשות האוכל, ולכן אין הולכין בתר מעמד הכלי מבחוץ, וכן הוא ברמ"א בסע' ז' עי"ש. וכאן יתכן שאפילו דין מעמד אין לו להעץ מתחת הזכוכית דאפשר לחתוך החלות ע"ג הזכוכית לבד בלי העץ מתחתיו. ומבואר ברמ"א שם שבכה"ג שאינו עיקר חלק מהכלי אף אם היה הבסיס ממתכת וכדו' [חומר שהוא בעצם חייב בטבילה] מ"מ אינו מחייב הכלי בטבילה מחמתו כיון שאינו מוכרח חלק זה לשימוש הכלי. </w:t>
      </w:r>
    </w:p>
    <w:p w:rsidR="00135CE9" w:rsidRDefault="00135CE9" w:rsidP="00135CE9">
      <w:pPr>
        <w:bidi/>
        <w:rPr>
          <w:rFonts w:cs="David" w:hint="cs"/>
          <w:sz w:val="28"/>
          <w:szCs w:val="28"/>
          <w:rtl/>
          <w:lang w:bidi="he-IL"/>
        </w:rPr>
      </w:pPr>
      <w:r>
        <w:rPr>
          <w:rFonts w:cs="David" w:hint="cs"/>
          <w:sz w:val="28"/>
          <w:szCs w:val="28"/>
          <w:rtl/>
          <w:lang w:bidi="he-IL"/>
        </w:rPr>
        <w:t>ג) ומדובר כאן שהבסיס הוא של עץ וודאי אינו מחיוב משום זה בטבילה, ומכל מקום לכאורה הכלי חייב בטבילה משום הזכוכית שעליו חותכים החלות. ומשום חיוב הזכוכית לכאורה חייב כל המגש עם כל חלקיו, אלא שבאמת אין הדבר פשוט כן. עי' בדרכי תשובה [ס"ק נז'] שמביא מהקהל יהודה לגבי כלי שיש בו גם מתכת וגם עץ ושניהם הם חלקים חשובים שאין אחד בטל לגבי השני. והוא מסתפק האם חייב לטבול כל הכלי או רק חלק המתכת בלבד. אלא שלא נתקבלו דבריו בזה כלל, וסוגיא דעלמא דלא כוותיה. וקי"ל שכל שיש בכלי מחייב לטבילה, זה מחייב את כל הכלי בטבילה.</w:t>
      </w:r>
      <w:r>
        <w:rPr>
          <w:rStyle w:val="FootnoteReference"/>
          <w:rFonts w:cs="David"/>
          <w:sz w:val="28"/>
          <w:szCs w:val="28"/>
          <w:rtl/>
          <w:lang w:bidi="he-IL"/>
        </w:rPr>
        <w:footnoteReference w:id="1"/>
      </w:r>
      <w:r>
        <w:rPr>
          <w:rFonts w:cs="David" w:hint="cs"/>
          <w:sz w:val="28"/>
          <w:szCs w:val="28"/>
          <w:rtl/>
          <w:lang w:bidi="he-IL"/>
        </w:rPr>
        <w:t xml:space="preserve"> </w:t>
      </w:r>
    </w:p>
    <w:p w:rsidR="00AD6A67" w:rsidRPr="00AD6A67" w:rsidRDefault="00AD6A67" w:rsidP="00135CE9">
      <w:pPr>
        <w:bidi/>
        <w:rPr>
          <w:rFonts w:cs="David" w:hint="cs"/>
          <w:b/>
          <w:bCs/>
          <w:sz w:val="28"/>
          <w:szCs w:val="28"/>
          <w:rtl/>
          <w:lang w:bidi="he-IL"/>
        </w:rPr>
      </w:pPr>
      <w:r>
        <w:rPr>
          <w:rFonts w:cs="David" w:hint="cs"/>
          <w:b/>
          <w:bCs/>
          <w:sz w:val="28"/>
          <w:szCs w:val="28"/>
          <w:rtl/>
          <w:lang w:bidi="he-IL"/>
        </w:rPr>
        <w:t>טבילת כלי של פרקים</w:t>
      </w:r>
    </w:p>
    <w:p w:rsidR="00135CE9" w:rsidRDefault="00135CE9" w:rsidP="00AD6A67">
      <w:pPr>
        <w:bidi/>
        <w:rPr>
          <w:rFonts w:cs="David" w:hint="cs"/>
          <w:sz w:val="28"/>
          <w:szCs w:val="28"/>
          <w:rtl/>
          <w:lang w:bidi="he-IL"/>
        </w:rPr>
      </w:pPr>
      <w:r>
        <w:rPr>
          <w:rFonts w:cs="David" w:hint="cs"/>
          <w:sz w:val="28"/>
          <w:szCs w:val="28"/>
          <w:rtl/>
          <w:lang w:bidi="he-IL"/>
        </w:rPr>
        <w:t xml:space="preserve">ד) אלא שיש לדון במגש שאפשר להסיר הזכוכית בקלות ע"י הסרת הברגים, ולפרק המגש לכמה חלקים. האם אפשר לטובלו כשהוא מפורק. דידוע מה שחידש ההר צבי ע"פ הגמ' סוכה טז. שכלי של פרקים גם כשהוא מפורק אינו בטל ממנו תורת כלי ואפשר לטובלו כך. אלא דעיין שם שזה רק בכלי שעומד להתפרק לחלקים. ויש לדון האם המגש עומד לכך לצרכי ניקיון והחלפת הזכוכית או לא. ועי' במנחת יצחק [ג' </w:t>
      </w:r>
      <w:r>
        <w:rPr>
          <w:rFonts w:cs="David"/>
          <w:sz w:val="28"/>
          <w:szCs w:val="28"/>
          <w:rtl/>
          <w:lang w:bidi="he-IL"/>
        </w:rPr>
        <w:t>–</w:t>
      </w:r>
      <w:r>
        <w:rPr>
          <w:rFonts w:cs="David" w:hint="cs"/>
          <w:sz w:val="28"/>
          <w:szCs w:val="28"/>
          <w:rtl/>
          <w:lang w:bidi="he-IL"/>
        </w:rPr>
        <w:t xml:space="preserve">עז'] שכתב כעין דברי ההר צבי, ושמעתי בשמו שהיה מתיר כל כלי שאפשר לפרקו בלי לשוברו שדינו ככלי פרקים ומותר לטובלו כך. </w:t>
      </w:r>
    </w:p>
    <w:p w:rsidR="00135CE9" w:rsidRDefault="00135CE9" w:rsidP="00135CE9">
      <w:pPr>
        <w:bidi/>
        <w:rPr>
          <w:rFonts w:cs="David" w:hint="cs"/>
          <w:sz w:val="28"/>
          <w:szCs w:val="28"/>
          <w:rtl/>
          <w:lang w:bidi="he-IL"/>
        </w:rPr>
      </w:pPr>
      <w:r>
        <w:rPr>
          <w:rFonts w:cs="David" w:hint="cs"/>
          <w:sz w:val="28"/>
          <w:szCs w:val="28"/>
          <w:rtl/>
          <w:lang w:bidi="he-IL"/>
        </w:rPr>
        <w:t xml:space="preserve">ה) וכיון שהכלי מפורק אין צריך לטבול רק החלקים שהם מחומר החייב בטבילה. וכאן זה רק הזכוכית, דהכסף לעולם אינו בא במגע עם האוכל ואינו נחשב ככלי סעודה כלל. והביאור בזה שאף שקי"ל שאין טבילת כלי לחצאין כנ"ל ודלא כדברי הקהל יהודה, מ"מ כל שהוא בפרקים </w:t>
      </w:r>
      <w:r>
        <w:rPr>
          <w:rFonts w:cs="David" w:hint="cs"/>
          <w:sz w:val="28"/>
          <w:szCs w:val="28"/>
          <w:rtl/>
          <w:lang w:bidi="he-IL"/>
        </w:rPr>
        <w:lastRenderedPageBreak/>
        <w:t>אין חיוב לטבול אלא המחייב של הכלי שהוא המתכת והזכוכית. וכשמחברו, שוב אין כאן מה לחייב כל הכלי בטבילה. וכעין זה מבואר בש"ך ס"ק יד' שחלק התחתון של הרחיים שהוא של עץ אינו צריך טבילה בפני עצמו [אלא שיש לחלק דשם מיירי בחלק שלעולם לא בא בחיבור עם שאר הכלי].</w:t>
      </w:r>
    </w:p>
    <w:p w:rsidR="00AD6A67" w:rsidRPr="00AD6A67" w:rsidRDefault="00AD6A67" w:rsidP="00135CE9">
      <w:pPr>
        <w:bidi/>
        <w:rPr>
          <w:rFonts w:cs="David" w:hint="cs"/>
          <w:b/>
          <w:bCs/>
          <w:sz w:val="28"/>
          <w:szCs w:val="28"/>
          <w:rtl/>
          <w:lang w:bidi="he-IL"/>
        </w:rPr>
      </w:pPr>
      <w:r>
        <w:rPr>
          <w:rFonts w:cs="David" w:hint="cs"/>
          <w:b/>
          <w:bCs/>
          <w:sz w:val="28"/>
          <w:szCs w:val="28"/>
          <w:rtl/>
          <w:lang w:bidi="he-IL"/>
        </w:rPr>
        <w:t>גדר כלי לחיוב טבילה</w:t>
      </w:r>
    </w:p>
    <w:p w:rsidR="00135CE9" w:rsidRDefault="00135CE9" w:rsidP="00AD6A67">
      <w:pPr>
        <w:bidi/>
        <w:rPr>
          <w:rFonts w:cs="David"/>
          <w:sz w:val="28"/>
          <w:szCs w:val="28"/>
          <w:rtl/>
          <w:lang w:bidi="he-IL"/>
        </w:rPr>
      </w:pPr>
      <w:r>
        <w:rPr>
          <w:rFonts w:cs="David" w:hint="cs"/>
          <w:sz w:val="28"/>
          <w:szCs w:val="28"/>
          <w:rtl/>
          <w:lang w:bidi="he-IL"/>
        </w:rPr>
        <w:t>ו) וכל זה הוא בהנחה שמגש זו חייב בטבילת כלים. אלא שלכאורה יש כמה צדדים לדון שכלי זה פטור לגמרי מטבילת כלים, וכמו שיתבאר. הנה, האחרונים האריכו בגדרי כלי לענין טבילת כלים האם דבר זה תלוי בהגדרת כלי בדיני טומאה וטהרה או לא, וכמו שיתבאר. בכמה אחרונים העירו על מנהג העולם שלא לטבול יורות שקנו מן העכו"ם וקבעו בתנור בית החורף, שמבשלים בהם מים והשתמשו בו גם לעשיית תה וכדומה. ובשו"ת שב יעקב סי' לא' מביא כמה טעמים להקל בזה. ומחדש שכיון שכלים אלו מחוברים לקרקע ונעשו מלחתכילה לקובעם שם, כלים כאלו אינם מקבלים טומאה. וא"כ ה"ה לגבי טבילת כלים אין להם טומאת עכו"ם ואינם חייבים בטבילת כלים. הרי שגדר כלי שוה בזה לטומאה וטהרה. אמנם בשו"ת גדולי טהרה [סי' יז'] חולק עליו בזה שאין לדמות אהדדי. ומוכיח כן מהא דמצינו שלגבי טבילת כלים גם כיסוי הקדירה חייב בטבילה. ולגבי טומאה מבואר במס' כלים פרק יד' מש' ג' שכיסוי כלים הואיל ואין להם שם לעצמם אינם מקבלים טומאה. ועי' בשו"ת מנחת יצחק [חלק ד' סי' קי"ד אות ד'] שחושש לדבריו ולכן כותב שדברי השב יעקב אינם אליבא דהילכתא עי"ש.</w:t>
      </w:r>
    </w:p>
    <w:p w:rsidR="00135CE9" w:rsidRDefault="00135CE9" w:rsidP="00135CE9">
      <w:pPr>
        <w:bidi/>
        <w:rPr>
          <w:rFonts w:cs="David"/>
          <w:sz w:val="28"/>
          <w:szCs w:val="28"/>
          <w:rtl/>
          <w:lang w:bidi="he-IL"/>
        </w:rPr>
      </w:pPr>
      <w:r>
        <w:rPr>
          <w:rFonts w:cs="David" w:hint="cs"/>
          <w:sz w:val="28"/>
          <w:szCs w:val="28"/>
          <w:rtl/>
          <w:lang w:bidi="he-IL"/>
        </w:rPr>
        <w:t>ז) אמנם באמת כבר מצינו בראשונים שהתייחסו לשאלה זו ועשו דמיון בין טומאה לטבילה</w:t>
      </w:r>
      <w:r w:rsidR="00E50271">
        <w:rPr>
          <w:rFonts w:cs="David" w:hint="cs"/>
          <w:sz w:val="28"/>
          <w:szCs w:val="28"/>
          <w:rtl/>
          <w:lang w:bidi="he-IL"/>
        </w:rPr>
        <w:t>, וכמו שיתבאר. בתוס' עה: [ד"ה והילכתא</w:t>
      </w:r>
      <w:r>
        <w:rPr>
          <w:rFonts w:cs="David" w:hint="cs"/>
          <w:sz w:val="28"/>
          <w:szCs w:val="28"/>
          <w:rtl/>
          <w:lang w:bidi="he-IL"/>
        </w:rPr>
        <w:t>] כתב שהא דאיתא בגמ' שכלי שיש בו ציפוי של מתכת [קוניא] חייב בטבילה משום הציפוי, זה רק כשיש ציפוי מבפ</w:t>
      </w:r>
      <w:r w:rsidR="00E50271">
        <w:rPr>
          <w:rFonts w:cs="David" w:hint="cs"/>
          <w:sz w:val="28"/>
          <w:szCs w:val="28"/>
          <w:rtl/>
          <w:lang w:bidi="he-IL"/>
        </w:rPr>
        <w:t>נ</w:t>
      </w:r>
      <w:r>
        <w:rPr>
          <w:rFonts w:cs="David" w:hint="cs"/>
          <w:sz w:val="28"/>
          <w:szCs w:val="28"/>
          <w:rtl/>
          <w:lang w:bidi="he-IL"/>
        </w:rPr>
        <w:t xml:space="preserve">ים במקום שהאוכל נוגע. וביאר דאף להשיטות שהולכין בתר מעמיד, וא"כ גם ציפוי מבחוץ שעושה מעמד הכלי, לכאו' הכלי מוגדר ככלי מתכת משום המעמד. מ"מ שאני טבילת כלים שהתנאי של כלי סעודה הוא שישתמש בכלי דרך המתכת, שהוא הכלי סעודה. ולכן כל שהציפוי בחוץ אף שהוא המעמד אינו מחייב טבילה משום זה. </w:t>
      </w:r>
    </w:p>
    <w:p w:rsidR="00135CE9" w:rsidRDefault="00135CE9" w:rsidP="00135CE9">
      <w:pPr>
        <w:bidi/>
        <w:rPr>
          <w:rFonts w:cs="David"/>
          <w:sz w:val="28"/>
          <w:szCs w:val="28"/>
          <w:rtl/>
          <w:lang w:bidi="he-IL"/>
        </w:rPr>
      </w:pPr>
      <w:r>
        <w:rPr>
          <w:rFonts w:cs="David" w:hint="cs"/>
          <w:sz w:val="28"/>
          <w:szCs w:val="28"/>
          <w:rtl/>
          <w:lang w:bidi="he-IL"/>
        </w:rPr>
        <w:t xml:space="preserve">ח) ויש להסתפק בכוונת התוס', האם כוונתו שלגבי טבילת כלים אין הולכים בתר מעמד כלל, או דילמא רק הוסיף עוד פרט של מקום ההשתמשות ומ"מ עדיין הולכין אחר המעמד. ונ"מ בזה באופן שמקום ההשתמשות [פנים הכלי] הוא בעיקר מעץ וכדו' שפטור מן הטבילה. ויש מעמד של מתכת בפנים הכלי במקום ההשתמשות, אלא שהמעמד הוא קטן ביחס לגבי העץ. האם בזה הולכין אחר המעמד שהוא במקום ההשתמשות. או דילמא אין מתחשבין אם מעמד כלל ועיקר כלי זו הלא הוא מעץ, וא"כ פטור מטבילה. </w:t>
      </w:r>
    </w:p>
    <w:p w:rsidR="00135CE9" w:rsidRDefault="00135CE9" w:rsidP="00135CE9">
      <w:pPr>
        <w:bidi/>
        <w:rPr>
          <w:rFonts w:cs="David"/>
          <w:sz w:val="28"/>
          <w:szCs w:val="28"/>
          <w:rtl/>
          <w:lang w:bidi="he-IL"/>
        </w:rPr>
      </w:pPr>
      <w:r>
        <w:rPr>
          <w:rFonts w:cs="David" w:hint="cs"/>
          <w:sz w:val="28"/>
          <w:szCs w:val="28"/>
          <w:rtl/>
          <w:lang w:bidi="he-IL"/>
        </w:rPr>
        <w:t xml:space="preserve">ט) והנה ברמ"א סע' ז' מביא הדין של כלים המורכבים ממתכת ועץ [או שאר דבר הפטור מטבילה], וכתב שהולכין תמיד אחר העיקר והטפל בטל לגבי העיקר הכלי. ומסיים שם "אבל כלי המתוקן ביתדות של ברזל ובלא הברזל לא היה אפשר להשתמש בו והם מבפנים, צריך טבילה". ועי' בפר"ח שם שהבין שבכה"ג שיש מעמד בפנים הולכים אחר המעמד, דיש בזה תרתי לטיבותא, מקום התשמיש וגם מעמד. ולפי"ז מוסיף הפר"ח, והוא מהמרדכי, שה"ה כלי עץ שיש בו נקב ומלאהו עם מתכת, נמצא שיש מעמד ובמקום השתמשות האוכל, גם בזה יש תרתי לטיבותא וחייב בטבילה. </w:t>
      </w:r>
    </w:p>
    <w:p w:rsidR="00135CE9" w:rsidRDefault="00135CE9" w:rsidP="00135CE9">
      <w:pPr>
        <w:bidi/>
        <w:rPr>
          <w:rFonts w:cs="David"/>
          <w:sz w:val="28"/>
          <w:szCs w:val="28"/>
          <w:rtl/>
          <w:lang w:bidi="he-IL"/>
        </w:rPr>
      </w:pPr>
      <w:r>
        <w:rPr>
          <w:rFonts w:cs="David" w:hint="cs"/>
          <w:sz w:val="28"/>
          <w:szCs w:val="28"/>
          <w:rtl/>
          <w:lang w:bidi="he-IL"/>
        </w:rPr>
        <w:lastRenderedPageBreak/>
        <w:t>י) ועי"ש בפרי תואר שחולק עליו דכה"ג שעיקר הכלי הוא עץ ורק מקום קטן הוא של מתכת, עדיין העקר הכלי הוא העץ ופטור מטבילה. ולא איכפת לן ממעמד שהלא כבר מבואר בתוס' ועוד שאין הולכין אחר המעמד לגבי טבילת כלים. והוא הבין שאין הולכים כלל אחר מעמד. ומשמע מהפר"ת שלעולם מסכים לדינא של האמ"א, וכנראה הבין דשם אינו משום המעמד אלא לעולם המתכת שם הוא דבר חשוב וגדול בתוך הכלי ולכן אינו בטל, משא"כ נקב שנסתם.</w:t>
      </w:r>
    </w:p>
    <w:p w:rsidR="00135CE9" w:rsidRDefault="00135CE9" w:rsidP="00135CE9">
      <w:pPr>
        <w:bidi/>
        <w:rPr>
          <w:rFonts w:cs="David"/>
          <w:sz w:val="28"/>
          <w:szCs w:val="28"/>
          <w:rtl/>
          <w:lang w:bidi="he-IL"/>
        </w:rPr>
      </w:pPr>
      <w:r>
        <w:rPr>
          <w:rFonts w:cs="David" w:hint="cs"/>
          <w:sz w:val="28"/>
          <w:szCs w:val="28"/>
          <w:rtl/>
          <w:lang w:bidi="he-IL"/>
        </w:rPr>
        <w:t>יא) והנה, מקור דברי הרמ"א הם במרדכי בעבודה זרה [עה:] ושם מבואר להדיא כדברי הפר"ח, שלעולם גם לבסרת תוס' שצריכין מקום השתמשות, מ"מ ג"כ הולכין אחר מעמד. וז"ל המרדכי "ואע"ג דהכל הולך אחר המעמד, ה"מ היכי דמשמש דרך המעמד כמו נקב שנסתם...אבל הני דליים שהמעמיד אין בתוכו א"צ טבילה".</w:t>
      </w:r>
      <w:r>
        <w:rPr>
          <w:rStyle w:val="FootnoteReference"/>
          <w:rFonts w:cs="David"/>
          <w:sz w:val="28"/>
          <w:szCs w:val="28"/>
          <w:rtl/>
          <w:lang w:bidi="he-IL"/>
        </w:rPr>
        <w:footnoteReference w:id="2"/>
      </w:r>
      <w:r>
        <w:rPr>
          <w:rFonts w:cs="David" w:hint="cs"/>
          <w:sz w:val="28"/>
          <w:szCs w:val="28"/>
          <w:rtl/>
          <w:lang w:bidi="he-IL"/>
        </w:rPr>
        <w:t xml:space="preserve"> ומבואר שהולכין בתר מעמד אלא שיש תנאי נוסף של מקום השתמשות. ועוד מביא שם דעת המהר"ם שלעולם לא סבירא ליה מתנאי זו ולכן לדעתו הולכין בתר כל מעמד, גם כשהוא בחוץ. ומביא שם לשון המהר"ם שהא דהולכין בטבילת כלים אחר המעמד הוא משום ש"מדמינן טבילה לטומאה לענין הלך אחר המעמד". ובזה לא פליג המרדכי ורק בתנאי של מקום השתמשות, כנ"ל. </w:t>
      </w:r>
    </w:p>
    <w:p w:rsidR="00135CE9" w:rsidRDefault="00135CE9" w:rsidP="00135CE9">
      <w:pPr>
        <w:bidi/>
        <w:rPr>
          <w:rFonts w:cs="David"/>
          <w:sz w:val="28"/>
          <w:szCs w:val="28"/>
          <w:rtl/>
          <w:lang w:bidi="he-IL"/>
        </w:rPr>
      </w:pPr>
      <w:r>
        <w:rPr>
          <w:rFonts w:cs="David" w:hint="cs"/>
          <w:sz w:val="28"/>
          <w:szCs w:val="28"/>
          <w:rtl/>
          <w:lang w:bidi="he-IL"/>
        </w:rPr>
        <w:t xml:space="preserve">יב) וכל זה מפורש להדיא בביאור הגר"א ס"ק יט' שרק בפרט זה פליגי הראשונים </w:t>
      </w:r>
      <w:r w:rsidRPr="00D518CA">
        <w:rPr>
          <w:rFonts w:cs="David" w:hint="cs"/>
          <w:sz w:val="28"/>
          <w:szCs w:val="28"/>
          <w:rtl/>
          <w:lang w:bidi="he-IL"/>
        </w:rPr>
        <w:t>"</w:t>
      </w:r>
      <w:r w:rsidRPr="00D518CA">
        <w:rPr>
          <w:rFonts w:cs="David" w:hint="cs"/>
          <w:sz w:val="28"/>
          <w:szCs w:val="28"/>
          <w:u w:val="single"/>
          <w:rtl/>
          <w:lang w:bidi="he-IL"/>
        </w:rPr>
        <w:t>אבל בשאר כל דבר שוה לטו</w:t>
      </w:r>
      <w:r>
        <w:rPr>
          <w:rFonts w:cs="David" w:hint="cs"/>
          <w:sz w:val="28"/>
          <w:szCs w:val="28"/>
          <w:u w:val="single"/>
          <w:rtl/>
          <w:lang w:bidi="he-IL"/>
        </w:rPr>
        <w:t>מ</w:t>
      </w:r>
      <w:r w:rsidRPr="00D518CA">
        <w:rPr>
          <w:rFonts w:cs="David" w:hint="cs"/>
          <w:sz w:val="28"/>
          <w:szCs w:val="28"/>
          <w:u w:val="single"/>
          <w:rtl/>
          <w:lang w:bidi="he-IL"/>
        </w:rPr>
        <w:t>אה ולטהרה</w:t>
      </w:r>
      <w:r w:rsidRPr="00D518CA">
        <w:rPr>
          <w:rFonts w:cs="David" w:hint="cs"/>
          <w:sz w:val="28"/>
          <w:szCs w:val="28"/>
          <w:rtl/>
          <w:lang w:bidi="he-IL"/>
        </w:rPr>
        <w:t>"</w:t>
      </w:r>
      <w:r>
        <w:rPr>
          <w:rFonts w:cs="David" w:hint="cs"/>
          <w:sz w:val="28"/>
          <w:szCs w:val="28"/>
          <w:rtl/>
          <w:lang w:bidi="he-IL"/>
        </w:rPr>
        <w:t>. והאריכות בהמשך הגר"א הוא משום שיש עוד קושי בזה והוא דגם לגבי טומאה וטהרה עצמו לכאו' לא קי"ל שהולכין בתר מעמד, וכדעת החכמים בשבת [טו:]. וכן הקשה בזה על הפר"ח בשו"ת בית יהודה [יו"ד סי' נו'] וכן העיר בזה בפר"ת שם. וביאר הגאון ע"פ תוס' בשבת שם שלעולם יש ב' מיני מעמד. כשהמעמד הוא להכלי שבלא"ה הכלי יתפרק, בזה הולכין אחר המעמד [וביאר הרמ"א "וז"ש אבל כלי המתוקן ביתדות..]. ויש עוד מעמד שהוא רק למה שבתוך הכלי ובזה יש מח' ר"מ וחכמים. וביאר שגם בזה המרדכי פסק כר' מאיר,</w:t>
      </w:r>
      <w:r>
        <w:rPr>
          <w:rStyle w:val="FootnoteReference"/>
          <w:rFonts w:cs="David"/>
          <w:sz w:val="28"/>
          <w:szCs w:val="28"/>
          <w:rtl/>
          <w:lang w:bidi="he-IL"/>
        </w:rPr>
        <w:footnoteReference w:id="3"/>
      </w:r>
      <w:r>
        <w:rPr>
          <w:rFonts w:cs="David" w:hint="cs"/>
          <w:sz w:val="28"/>
          <w:szCs w:val="28"/>
          <w:rtl/>
          <w:lang w:bidi="he-IL"/>
        </w:rPr>
        <w:t xml:space="preserve"> שהולכין אחר המעמד, ובזה נוטה הגאון לחלוק שלעולם בזה הל' כחכמים ואין הולכין אחר מעמד כזו לא לענין טהרות ולא לענין טבילה. ולכן בכלי עם מעמד בפנים כזה, וכגון נקב שנסתם עם מתכת יש לטובלו בלא ברכה דאולי בזה אין הולכים אחר המעמד בשום מקום.                                                                                              </w:t>
      </w:r>
    </w:p>
    <w:p w:rsidR="00135CE9" w:rsidRDefault="00135CE9" w:rsidP="00135CE9">
      <w:pPr>
        <w:bidi/>
        <w:rPr>
          <w:rFonts w:cs="David" w:hint="cs"/>
          <w:sz w:val="28"/>
          <w:szCs w:val="28"/>
          <w:rtl/>
          <w:lang w:bidi="he-IL"/>
        </w:rPr>
      </w:pPr>
      <w:r>
        <w:rPr>
          <w:rFonts w:cs="David" w:hint="cs"/>
          <w:sz w:val="28"/>
          <w:szCs w:val="28"/>
          <w:rtl/>
          <w:lang w:bidi="he-IL"/>
        </w:rPr>
        <w:t>יג) הרי לן דברים מפורשים מהראשונים, הרמ"א והגאון בביאורו שלעולם גדרי כלי לענין טבילה נלמדים מטומאה וטהרה לכל דבר [וכלשון הגר"א]. ולגבי קושית הגדולי טהרה מהא שכיסוי כלים אינם מקבלים טומאה, באמת כבר תי' זה הגאון בלשונו הזהב. דעי' בגאון בס"ק טו' על הלכה זו שכיסוי קדירות צריכין טבילה. שכתב שהטעם הוא משום שהזיעה עולה להכיסוי והוה ליה כקדירה עצמה. ומוסיף שם הגאון "</w:t>
      </w:r>
      <w:r w:rsidRPr="00AE0669">
        <w:rPr>
          <w:rFonts w:cs="David" w:hint="cs"/>
          <w:sz w:val="28"/>
          <w:szCs w:val="28"/>
          <w:u w:val="single"/>
          <w:rtl/>
          <w:lang w:bidi="he-IL"/>
        </w:rPr>
        <w:t>וכן לענין טומאה</w:t>
      </w:r>
      <w:r>
        <w:rPr>
          <w:rFonts w:cs="David" w:hint="cs"/>
          <w:sz w:val="28"/>
          <w:szCs w:val="28"/>
          <w:rtl/>
          <w:lang w:bidi="he-IL"/>
        </w:rPr>
        <w:t xml:space="preserve"> כמ"ש בספ"ה שמכשירין ובפ"ב שם". וכוונתו ששאני כיסוי קדירה מכל כיסוי כלים, שכיון שהזיעה עולה והזיעה הוי כמשקה עצמו, לכן הכיסוי קדירה יש לו דין קדירה ולכן גם מקבל טומאה, ודו"ק. </w:t>
      </w:r>
    </w:p>
    <w:p w:rsidR="00AD6A67" w:rsidRDefault="00AD6A67" w:rsidP="008A1AEF">
      <w:pPr>
        <w:bidi/>
        <w:rPr>
          <w:rFonts w:cs="David" w:hint="cs"/>
          <w:b/>
          <w:bCs/>
          <w:sz w:val="28"/>
          <w:szCs w:val="28"/>
          <w:rtl/>
          <w:lang w:bidi="he-IL"/>
        </w:rPr>
      </w:pPr>
    </w:p>
    <w:p w:rsidR="00AD6A67" w:rsidRDefault="00AD6A67" w:rsidP="00AD6A67">
      <w:pPr>
        <w:bidi/>
        <w:rPr>
          <w:rFonts w:cs="David" w:hint="cs"/>
          <w:b/>
          <w:bCs/>
          <w:sz w:val="28"/>
          <w:szCs w:val="28"/>
          <w:rtl/>
          <w:lang w:bidi="he-IL"/>
        </w:rPr>
      </w:pPr>
    </w:p>
    <w:p w:rsidR="00AD6A67" w:rsidRPr="00AD6A67" w:rsidRDefault="00AD6A67" w:rsidP="00AD6A67">
      <w:pPr>
        <w:bidi/>
        <w:rPr>
          <w:rFonts w:cs="David" w:hint="cs"/>
          <w:b/>
          <w:bCs/>
          <w:sz w:val="28"/>
          <w:szCs w:val="28"/>
          <w:rtl/>
          <w:lang w:bidi="he-IL"/>
        </w:rPr>
      </w:pPr>
      <w:r>
        <w:rPr>
          <w:rFonts w:cs="David" w:hint="cs"/>
          <w:b/>
          <w:bCs/>
          <w:sz w:val="28"/>
          <w:szCs w:val="28"/>
          <w:rtl/>
          <w:lang w:bidi="he-IL"/>
        </w:rPr>
        <w:lastRenderedPageBreak/>
        <w:t>פשוטי כלי זכוכית</w:t>
      </w:r>
    </w:p>
    <w:p w:rsidR="00135CE9" w:rsidRDefault="00714E25" w:rsidP="00AD6A67">
      <w:pPr>
        <w:bidi/>
        <w:rPr>
          <w:rFonts w:cs="David"/>
          <w:sz w:val="28"/>
          <w:szCs w:val="28"/>
          <w:rtl/>
          <w:lang w:bidi="he-IL"/>
        </w:rPr>
      </w:pPr>
      <w:r>
        <w:rPr>
          <w:rFonts w:cs="David" w:hint="cs"/>
          <w:sz w:val="28"/>
          <w:szCs w:val="28"/>
          <w:rtl/>
          <w:lang w:bidi="he-IL"/>
        </w:rPr>
        <w:t xml:space="preserve">יד) ועכשיו שזכינו לדין שגדרי כלי בטבילת כלים נלמדים מהא דטומאה וטהרה, יש לדון לגבי המגש חלות. שכבר הזכרנו שכל מה שמחייב כלי זו בטבילת כלים הוא הדף של זכוכית שעליו יושבת החלה. והלא זכוכית זו אין לו בית קיבול אלא הוא בגדר פשוטי כלי מתכות. ומבואר בריש פ"ב דכלים וגם בגמ' שבת טז. שפשוטי כלי זכוכית אינם מקבלים טומאה </w:t>
      </w:r>
      <w:r w:rsidR="006C68CC">
        <w:rPr>
          <w:rFonts w:cs="David" w:hint="cs"/>
          <w:sz w:val="28"/>
          <w:szCs w:val="28"/>
          <w:rtl/>
          <w:lang w:bidi="he-IL"/>
        </w:rPr>
        <w:t>כלל</w:t>
      </w:r>
      <w:r>
        <w:rPr>
          <w:rFonts w:cs="David" w:hint="cs"/>
          <w:sz w:val="28"/>
          <w:szCs w:val="28"/>
          <w:rtl/>
          <w:lang w:bidi="he-IL"/>
        </w:rPr>
        <w:t xml:space="preserve"> </w:t>
      </w:r>
      <w:r w:rsidR="006C68CC">
        <w:rPr>
          <w:rFonts w:cs="David" w:hint="cs"/>
          <w:sz w:val="28"/>
          <w:szCs w:val="28"/>
          <w:rtl/>
          <w:lang w:bidi="he-IL"/>
        </w:rPr>
        <w:t>[</w:t>
      </w:r>
      <w:r>
        <w:rPr>
          <w:rFonts w:cs="David" w:hint="cs"/>
          <w:sz w:val="28"/>
          <w:szCs w:val="28"/>
          <w:rtl/>
          <w:lang w:bidi="he-IL"/>
        </w:rPr>
        <w:t>ורק פשוטי כלי מתכות נתרבו לטומאה גם בלי בית קיבול</w:t>
      </w:r>
      <w:r w:rsidR="006C68CC">
        <w:rPr>
          <w:rFonts w:cs="David" w:hint="cs"/>
          <w:sz w:val="28"/>
          <w:szCs w:val="28"/>
          <w:rtl/>
          <w:lang w:bidi="he-IL"/>
        </w:rPr>
        <w:t>]</w:t>
      </w:r>
      <w:r>
        <w:rPr>
          <w:rFonts w:cs="David" w:hint="cs"/>
          <w:sz w:val="28"/>
          <w:szCs w:val="28"/>
          <w:rtl/>
          <w:lang w:bidi="he-IL"/>
        </w:rPr>
        <w:t xml:space="preserve">. </w:t>
      </w:r>
      <w:r w:rsidR="006C68CC">
        <w:rPr>
          <w:rFonts w:cs="David" w:hint="cs"/>
          <w:sz w:val="28"/>
          <w:szCs w:val="28"/>
          <w:rtl/>
          <w:lang w:bidi="he-IL"/>
        </w:rPr>
        <w:t xml:space="preserve">ואם כן לכאורה אינם חייבים בטבילת כלים כלל. ובשו"ת שבט הלוי [ח"ו חושן משפט סי' רמ"ה אות א'] נתעורר בזה ובדברי הגאון שהבאנו לעיל. </w:t>
      </w:r>
      <w:r w:rsidR="00547CAD">
        <w:rPr>
          <w:rFonts w:cs="David" w:hint="cs"/>
          <w:sz w:val="28"/>
          <w:szCs w:val="28"/>
          <w:rtl/>
          <w:lang w:bidi="he-IL"/>
        </w:rPr>
        <w:t xml:space="preserve">אלא דעי"ש שדעתו שלעולם פשוטי כלי זכוכית חייבים בטבילה. וביאר דבגמ' מבואר שמה שכלי זכוכית בכלל חייבים בטבילה הוא משום מה דאיתא בגמ' שיש תיקון לשבירתם, והיינו שהם ניתכים כמו כלי מתכת. </w:t>
      </w:r>
      <w:r w:rsidR="005462CF">
        <w:rPr>
          <w:rFonts w:cs="David" w:hint="cs"/>
          <w:sz w:val="28"/>
          <w:szCs w:val="28"/>
          <w:rtl/>
          <w:lang w:bidi="he-IL"/>
        </w:rPr>
        <w:t>וכיון שמצד דמיונם לכלי מתכות הוא שגזרו עליהם דין טבילת כלים, ממילא כל דיני כלי מתכת יש להם לענין זה. וכמו שפשוטי כלי מתכות מקבלין טומאה וחייב</w:t>
      </w:r>
      <w:r w:rsidR="005F0152">
        <w:rPr>
          <w:rFonts w:cs="David" w:hint="cs"/>
          <w:sz w:val="28"/>
          <w:szCs w:val="28"/>
          <w:rtl/>
          <w:lang w:bidi="he-IL"/>
        </w:rPr>
        <w:t>ין בטבילה, ה"ה פשוטי כלי מתכות. ומה שאיתא בביאור הגר"א שדיני טבילה הם שוים לדיני טומאה וטהרה. דוחה</w:t>
      </w:r>
      <w:r w:rsidR="00F46E7D">
        <w:rPr>
          <w:rFonts w:cs="David" w:hint="cs"/>
          <w:sz w:val="28"/>
          <w:szCs w:val="28"/>
          <w:rtl/>
          <w:lang w:bidi="he-IL"/>
        </w:rPr>
        <w:t xml:space="preserve"> השבה"ל שאין כוונתו לדמיון גמור,</w:t>
      </w:r>
      <w:r w:rsidR="005F0152">
        <w:rPr>
          <w:rFonts w:cs="David" w:hint="cs"/>
          <w:sz w:val="28"/>
          <w:szCs w:val="28"/>
          <w:rtl/>
          <w:lang w:bidi="he-IL"/>
        </w:rPr>
        <w:t xml:space="preserve"> ומוכיח כן </w:t>
      </w:r>
      <w:r w:rsidR="00F46E7D">
        <w:rPr>
          <w:rFonts w:cs="David" w:hint="cs"/>
          <w:sz w:val="28"/>
          <w:szCs w:val="28"/>
          <w:rtl/>
          <w:lang w:bidi="he-IL"/>
        </w:rPr>
        <w:t>מהא דמצינו</w:t>
      </w:r>
      <w:r w:rsidR="008A1AEF">
        <w:rPr>
          <w:rFonts w:cs="David" w:hint="cs"/>
          <w:sz w:val="28"/>
          <w:szCs w:val="28"/>
          <w:rtl/>
          <w:lang w:bidi="he-IL"/>
        </w:rPr>
        <w:t xml:space="preserve"> שבטבילת כלים גם א</w:t>
      </w:r>
      <w:r w:rsidR="00F46E7D">
        <w:rPr>
          <w:rFonts w:cs="David" w:hint="cs"/>
          <w:sz w:val="28"/>
          <w:szCs w:val="28"/>
          <w:rtl/>
          <w:lang w:bidi="he-IL"/>
        </w:rPr>
        <w:t xml:space="preserve">ם רק הציפוי של הכלי </w:t>
      </w:r>
      <w:r w:rsidR="008A1AEF">
        <w:rPr>
          <w:rFonts w:cs="David" w:hint="cs"/>
          <w:sz w:val="28"/>
          <w:szCs w:val="28"/>
          <w:rtl/>
          <w:lang w:bidi="he-IL"/>
        </w:rPr>
        <w:t xml:space="preserve">הוא מתכת חייב טבילה. ואילו לגבי טומאה, כלי עץ שמצופה עם מתכת אין דינו ככלי מתכת אלא כעץ.   </w:t>
      </w:r>
      <w:r w:rsidR="00F46E7D">
        <w:rPr>
          <w:rFonts w:cs="David" w:hint="cs"/>
          <w:sz w:val="28"/>
          <w:szCs w:val="28"/>
          <w:rtl/>
          <w:lang w:bidi="he-IL"/>
        </w:rPr>
        <w:t xml:space="preserve"> </w:t>
      </w:r>
    </w:p>
    <w:p w:rsidR="00284709" w:rsidRDefault="006B32B2" w:rsidP="00135CE9">
      <w:pPr>
        <w:bidi/>
        <w:rPr>
          <w:rFonts w:cs="David" w:hint="cs"/>
          <w:sz w:val="28"/>
          <w:szCs w:val="28"/>
          <w:rtl/>
          <w:lang w:bidi="he-IL"/>
        </w:rPr>
      </w:pPr>
      <w:r>
        <w:rPr>
          <w:rFonts w:cs="David" w:hint="cs"/>
          <w:sz w:val="28"/>
          <w:szCs w:val="28"/>
          <w:rtl/>
          <w:lang w:bidi="he-IL"/>
        </w:rPr>
        <w:t>טו) ובאמת שהרבה יש לדון בדבריו, וכמו שיתבאר. הא דאין פשוטי כלי מתכת מקבלים טומאה</w:t>
      </w:r>
      <w:r w:rsidR="00F41C58">
        <w:rPr>
          <w:rFonts w:cs="David" w:hint="cs"/>
          <w:sz w:val="28"/>
          <w:szCs w:val="28"/>
          <w:rtl/>
          <w:lang w:bidi="he-IL"/>
        </w:rPr>
        <w:t xml:space="preserve"> באמת אין הטעם ברור. ובאמת בגמ' שבת נחלקו האם זכוכית דומה לכלי חרס או לכלי מתכת לענין טומאה. וקי"ל כדעת ר' אשי שמדרבנן יש להם דין כלי חרס.</w:t>
      </w:r>
      <w:r w:rsidR="008F3917">
        <w:rPr>
          <w:rStyle w:val="FootnoteReference"/>
          <w:rFonts w:cs="David"/>
          <w:sz w:val="28"/>
          <w:szCs w:val="28"/>
          <w:rtl/>
          <w:lang w:bidi="he-IL"/>
        </w:rPr>
        <w:footnoteReference w:id="4"/>
      </w:r>
      <w:r w:rsidR="00F41C58">
        <w:rPr>
          <w:rFonts w:cs="David" w:hint="cs"/>
          <w:sz w:val="28"/>
          <w:szCs w:val="28"/>
          <w:rtl/>
          <w:lang w:bidi="he-IL"/>
        </w:rPr>
        <w:t xml:space="preserve"> אלא שיש להם חומר שמקבלים טומאה גם מגביהם דלא כחרס. והוא משום שהם שקופים ונראים תוכם כברם. ובהמשך הגמ' איתא שמה שפשוטי כלי זכוכית אינם מקבלים טומאה הוא משום שעשו רבנן הכירא לחלק בין שאורייתא לדרבנן כדי שלא לשרוף תרומה שלא כדין. </w:t>
      </w:r>
      <w:r w:rsidR="0040435F">
        <w:rPr>
          <w:rFonts w:cs="David" w:hint="cs"/>
          <w:sz w:val="28"/>
          <w:szCs w:val="28"/>
          <w:rtl/>
          <w:lang w:bidi="he-IL"/>
        </w:rPr>
        <w:t xml:space="preserve">ובפשוטו טעם זה הוא רק לשיטה שם בגמ' שדינם כמתכות ולכן צ"ל פשוטיהם טמאין כמו מתכות, ולזה עשו היכר. אבל לר"א שהם דומין לחרס, הלא פשוטי כלי חרס בכל אופן אינם מקבלים טומאה. </w:t>
      </w:r>
    </w:p>
    <w:p w:rsidR="0040435F" w:rsidRDefault="0040435F" w:rsidP="000C25EC">
      <w:pPr>
        <w:bidi/>
        <w:rPr>
          <w:rFonts w:cs="David" w:hint="cs"/>
          <w:sz w:val="28"/>
          <w:szCs w:val="28"/>
          <w:rtl/>
          <w:lang w:bidi="he-IL"/>
        </w:rPr>
      </w:pPr>
      <w:r>
        <w:rPr>
          <w:rFonts w:cs="David" w:hint="cs"/>
          <w:sz w:val="28"/>
          <w:szCs w:val="28"/>
          <w:rtl/>
          <w:lang w:bidi="he-IL"/>
        </w:rPr>
        <w:t>טז) וצ"ע בדברי הברטנורא ריש פרק ב' דכלים שכתב כדברי ר' אשי</w:t>
      </w:r>
      <w:r w:rsidR="000C25EC">
        <w:rPr>
          <w:rFonts w:cs="David" w:hint="cs"/>
          <w:sz w:val="28"/>
          <w:szCs w:val="28"/>
          <w:rtl/>
          <w:lang w:bidi="he-IL"/>
        </w:rPr>
        <w:t xml:space="preserve"> שזכוכית יש לו דין כלי חרס.</w:t>
      </w:r>
      <w:r>
        <w:rPr>
          <w:rFonts w:cs="David" w:hint="cs"/>
          <w:sz w:val="28"/>
          <w:szCs w:val="28"/>
          <w:rtl/>
          <w:lang w:bidi="he-IL"/>
        </w:rPr>
        <w:t xml:space="preserve"> ואח"כ מביא הא דפשוטיהם טהורין</w:t>
      </w:r>
      <w:r w:rsidR="000C25EC">
        <w:rPr>
          <w:rFonts w:cs="David" w:hint="cs"/>
          <w:sz w:val="28"/>
          <w:szCs w:val="28"/>
          <w:rtl/>
          <w:lang w:bidi="he-IL"/>
        </w:rPr>
        <w:t>,</w:t>
      </w:r>
      <w:r>
        <w:rPr>
          <w:rFonts w:cs="David" w:hint="cs"/>
          <w:sz w:val="28"/>
          <w:szCs w:val="28"/>
          <w:rtl/>
          <w:lang w:bidi="he-IL"/>
        </w:rPr>
        <w:t xml:space="preserve"> וביאר משום שעשו רבנן הכירא. ו</w:t>
      </w:r>
      <w:r w:rsidR="000C25EC">
        <w:rPr>
          <w:rFonts w:cs="David" w:hint="cs"/>
          <w:sz w:val="28"/>
          <w:szCs w:val="28"/>
          <w:rtl/>
          <w:lang w:bidi="he-IL"/>
        </w:rPr>
        <w:t>כבר העיר</w:t>
      </w:r>
      <w:r>
        <w:rPr>
          <w:rFonts w:cs="David" w:hint="cs"/>
          <w:sz w:val="28"/>
          <w:szCs w:val="28"/>
          <w:rtl/>
          <w:lang w:bidi="he-IL"/>
        </w:rPr>
        <w:t xml:space="preserve"> שם בבית מאיר </w:t>
      </w:r>
      <w:r w:rsidR="000C25EC">
        <w:rPr>
          <w:rFonts w:cs="David" w:hint="cs"/>
          <w:sz w:val="28"/>
          <w:szCs w:val="28"/>
          <w:rtl/>
          <w:lang w:bidi="he-IL"/>
        </w:rPr>
        <w:t xml:space="preserve">על זה </w:t>
      </w:r>
      <w:r>
        <w:rPr>
          <w:rFonts w:cs="David" w:hint="cs"/>
          <w:sz w:val="28"/>
          <w:szCs w:val="28"/>
          <w:rtl/>
          <w:lang w:bidi="he-IL"/>
        </w:rPr>
        <w:t>[בגליון המשניות]</w:t>
      </w:r>
      <w:r w:rsidR="000C25EC">
        <w:rPr>
          <w:rFonts w:cs="David" w:hint="cs"/>
          <w:sz w:val="28"/>
          <w:szCs w:val="28"/>
          <w:rtl/>
          <w:lang w:bidi="he-IL"/>
        </w:rPr>
        <w:t>, וביאר</w:t>
      </w:r>
      <w:r>
        <w:rPr>
          <w:rFonts w:cs="David" w:hint="cs"/>
          <w:sz w:val="28"/>
          <w:szCs w:val="28"/>
          <w:rtl/>
          <w:lang w:bidi="he-IL"/>
        </w:rPr>
        <w:t xml:space="preserve"> </w:t>
      </w:r>
      <w:r w:rsidR="00FD3494">
        <w:rPr>
          <w:rFonts w:cs="David" w:hint="cs"/>
          <w:sz w:val="28"/>
          <w:szCs w:val="28"/>
          <w:rtl/>
          <w:lang w:bidi="he-IL"/>
        </w:rPr>
        <w:t xml:space="preserve">שאה"נ כלי חרס פשוטיהם טהורים, אבל מ"מ אינם צריכים בית קיבול ממש כדי לקבל טומאה. אלא כל שיש להם תוך </w:t>
      </w:r>
      <w:r w:rsidR="001C4598">
        <w:rPr>
          <w:rFonts w:cs="David" w:hint="cs"/>
          <w:sz w:val="28"/>
          <w:szCs w:val="28"/>
          <w:rtl/>
          <w:lang w:bidi="he-IL"/>
        </w:rPr>
        <w:t xml:space="preserve">מקבלים טומאה גם בלי בית קיבול [דנלמד מפסוק "אל תוכו"]. ומהמש' שם מבואר שכלי זכוכית טהורים עד שיש להם בית קיבול ממש. ולזה גם לר' אשי צריכים לתירץ הגמ' שעשו היכר בכלי זכוכית והקילו בו יותר משאר כלי חרס. </w:t>
      </w:r>
      <w:r w:rsidR="00DF70A7">
        <w:rPr>
          <w:rFonts w:cs="David" w:hint="cs"/>
          <w:sz w:val="28"/>
          <w:szCs w:val="28"/>
          <w:rtl/>
          <w:lang w:bidi="he-IL"/>
        </w:rPr>
        <w:t xml:space="preserve">ומאחר שהא דפשוטי כלי זכוכית אינם מקבלים טומאה אינו משום דמיונם לחרס או מתכת אלא משום תקנה מיוחדת. יש לומר שגם לענין טבילת כלים הגם שמדמינן ליה למתכת לחייבו בטבילה, אבל מאן יימר שגם בזה לא נשאר בו התקנה לעשות היכר בינו לבין מתכת שהם דאורייתא. </w:t>
      </w:r>
    </w:p>
    <w:p w:rsidR="00DE4168" w:rsidRDefault="00DE4168" w:rsidP="00DE4168">
      <w:pPr>
        <w:bidi/>
        <w:rPr>
          <w:rFonts w:cs="David" w:hint="cs"/>
          <w:sz w:val="28"/>
          <w:szCs w:val="28"/>
          <w:rtl/>
          <w:lang w:bidi="he-IL"/>
        </w:rPr>
      </w:pPr>
      <w:r>
        <w:rPr>
          <w:rFonts w:cs="David" w:hint="cs"/>
          <w:sz w:val="28"/>
          <w:szCs w:val="28"/>
          <w:rtl/>
          <w:lang w:bidi="he-IL"/>
        </w:rPr>
        <w:t xml:space="preserve">יז) ומה שהעיר שמהא דבטבילה הולכין אחר הציפוי משא"כ בטומאה וטהרה, לכאורה אינו ראיה. דעי' שם בביואר הגר"א שבדבר אחד מבואר בתוס' שאין מדמינן לטומאה, והוא שאין </w:t>
      </w:r>
      <w:r>
        <w:rPr>
          <w:rFonts w:cs="David" w:hint="cs"/>
          <w:sz w:val="28"/>
          <w:szCs w:val="28"/>
          <w:rtl/>
          <w:lang w:bidi="he-IL"/>
        </w:rPr>
        <w:lastRenderedPageBreak/>
        <w:t xml:space="preserve">הולכין בטבילת כלים אחר המעמד. והטעם שהכל תלוי בכלי סעודה, ולכן החיוב הוא רק במקום שמשתמש בו לאוכל. וה"ה לגבי ציפוי הוא דין מיוחדת בטבילה לדון הכלי דווקא במקום השימוש, ולכן כשיש ציפוי דנים הכלי כמותו. שבל לשאר כל דבר מבואר בגר"א שהגדרים שוים ביניהם. ולכאורה ה"ה בכלי זכוכית החמירו לטבול רק מה שמקבל טומאה, וא"כ פשוטי כלי זכוכית פטורים. </w:t>
      </w:r>
    </w:p>
    <w:p w:rsidR="00AD6A67" w:rsidRPr="00AD6A67" w:rsidRDefault="00AD6A67" w:rsidP="006146B8">
      <w:pPr>
        <w:bidi/>
        <w:rPr>
          <w:rFonts w:cs="David" w:hint="cs"/>
          <w:b/>
          <w:bCs/>
          <w:sz w:val="28"/>
          <w:szCs w:val="28"/>
          <w:rtl/>
          <w:lang w:bidi="he-IL"/>
        </w:rPr>
      </w:pPr>
      <w:r>
        <w:rPr>
          <w:rFonts w:cs="David" w:hint="cs"/>
          <w:b/>
          <w:bCs/>
          <w:sz w:val="28"/>
          <w:szCs w:val="28"/>
          <w:rtl/>
          <w:lang w:bidi="he-IL"/>
        </w:rPr>
        <w:t>כלי שעלול להישבר ע"י טבילה</w:t>
      </w:r>
    </w:p>
    <w:p w:rsidR="009A3298" w:rsidRDefault="009A3298" w:rsidP="00AD6A67">
      <w:pPr>
        <w:bidi/>
        <w:rPr>
          <w:rFonts w:cs="David" w:hint="cs"/>
          <w:sz w:val="28"/>
          <w:szCs w:val="28"/>
          <w:rtl/>
          <w:lang w:bidi="he-IL"/>
        </w:rPr>
      </w:pPr>
      <w:r>
        <w:rPr>
          <w:rFonts w:cs="David" w:hint="cs"/>
          <w:sz w:val="28"/>
          <w:szCs w:val="28"/>
          <w:rtl/>
          <w:lang w:bidi="he-IL"/>
        </w:rPr>
        <w:t xml:space="preserve">יח) ועוד יש לדון במגש זו, שבסוג שא"א להסיר הזכוכית שעליו, ויש חשש של ממש שעל ידי הטבילה יגרום נזק והפסד להכלי. </w:t>
      </w:r>
      <w:r w:rsidR="00AC6AD1">
        <w:rPr>
          <w:rFonts w:cs="David" w:hint="cs"/>
          <w:sz w:val="28"/>
          <w:szCs w:val="28"/>
          <w:rtl/>
          <w:lang w:bidi="he-IL"/>
        </w:rPr>
        <w:t xml:space="preserve">אולי בכה"ג לא נאמר חיוב טבילה. שהלא כל חיוב התורה הוא לטבול כלים כדי להשתמש בהם. אבל באופן שע"י טבילתו יתקלקל הלא אינו מכניסו לשימוש של הישראל אלא מקלקלו לגמרי. </w:t>
      </w:r>
      <w:r w:rsidR="006146B8">
        <w:rPr>
          <w:rFonts w:cs="David" w:hint="cs"/>
          <w:sz w:val="28"/>
          <w:szCs w:val="28"/>
          <w:rtl/>
          <w:lang w:bidi="he-IL"/>
        </w:rPr>
        <w:t xml:space="preserve">ואף דיש לומר שכל שא"א לקיים בו מצות טבילה ממילא אסור להשתמש בכלי כזו, וכן הבינו כמה גדולים שדנו בדין טבילת כלי חשמלי שיתקלקל ע"י טבילה ולא התירו משום זה. מ"מ אין הדבר ברור כן, ומצינו קצת סמך לסרא הנ"ל שכל כה"ג לא חייבה התורה בטבילה. דעי' בסעי' י' בדין כלי שהוא בשוטפות של ישראל וגוי, שקי"ל שהוא פטוור מטבילה. וביאר שם בש"ך ס"' כד' בשם האיסור והיתר הטעם, שכיון שעל ידי טבילה לא היה יוצא כלי זו מטומאתו. דהשם גוי שהוא הגורם לחיוב הטבילה, עדיין קיים, וא"כ הטבילה לא מועלת להכניסו לקדושת ישראל, ולכו פטור מטבילה. והלא גם כאן היה אפשר לומר דכל שא"א להוציאו מטומאת עכו"ם ע"י טבילה, ממילא קיים בו הטומאת עכו"ם  וא"כ אסור להשתמש בכלי כזו. ומבואר שזה אינו, וכל שאין אפשרות לטובלו מותר בלי טבילה. </w:t>
      </w:r>
      <w:r w:rsidR="008F0F9F">
        <w:rPr>
          <w:rFonts w:cs="David" w:hint="cs"/>
          <w:sz w:val="28"/>
          <w:szCs w:val="28"/>
          <w:rtl/>
          <w:lang w:bidi="he-IL"/>
        </w:rPr>
        <w:t xml:space="preserve">והיינו שגדר מצוה זו הוא להכניסו לשימוש הישראל, וכל שזה א"א שוב אין כאן חיוב טבילה. וממילא אין כאן איסור שימוש דהטומאת עכו"ם לא חל כל שאין כאן מצות טבילה. </w:t>
      </w:r>
      <w:r w:rsidR="00AF65B7">
        <w:rPr>
          <w:rFonts w:cs="David" w:hint="cs"/>
          <w:sz w:val="28"/>
          <w:szCs w:val="28"/>
          <w:rtl/>
          <w:lang w:bidi="he-IL"/>
        </w:rPr>
        <w:t>והדברים מחודשים, וצ"ע אם יש בזה סניף להקל, ובפרט בניד"ד שכמדומני הרבה הכניסו כלי זה למקוה ויצאו בשלום בלי פגע.</w:t>
      </w:r>
    </w:p>
    <w:p w:rsidR="00AD6A67" w:rsidRPr="00AD6A67" w:rsidRDefault="00AD6A67" w:rsidP="00AF65B7">
      <w:pPr>
        <w:bidi/>
        <w:rPr>
          <w:rFonts w:cs="David" w:hint="cs"/>
          <w:b/>
          <w:bCs/>
          <w:sz w:val="28"/>
          <w:szCs w:val="28"/>
          <w:rtl/>
          <w:lang w:bidi="he-IL"/>
        </w:rPr>
      </w:pPr>
      <w:r>
        <w:rPr>
          <w:rFonts w:cs="David" w:hint="cs"/>
          <w:b/>
          <w:bCs/>
          <w:sz w:val="28"/>
          <w:szCs w:val="28"/>
          <w:rtl/>
          <w:lang w:bidi="he-IL"/>
        </w:rPr>
        <w:t>כלי שאינו עושה תיקון חשוב באוכל</w:t>
      </w:r>
    </w:p>
    <w:p w:rsidR="00BE2737" w:rsidRDefault="00AF65B7" w:rsidP="00AD6A67">
      <w:pPr>
        <w:bidi/>
        <w:rPr>
          <w:rFonts w:cs="David" w:hint="cs"/>
          <w:sz w:val="28"/>
          <w:szCs w:val="28"/>
          <w:rtl/>
          <w:lang w:bidi="he-IL"/>
        </w:rPr>
      </w:pPr>
      <w:r>
        <w:rPr>
          <w:rFonts w:cs="David" w:hint="cs"/>
          <w:sz w:val="28"/>
          <w:szCs w:val="28"/>
          <w:rtl/>
          <w:lang w:bidi="he-IL"/>
        </w:rPr>
        <w:t xml:space="preserve">יט) </w:t>
      </w:r>
      <w:r w:rsidR="00BE2737">
        <w:rPr>
          <w:rFonts w:cs="David" w:hint="cs"/>
          <w:sz w:val="28"/>
          <w:szCs w:val="28"/>
          <w:rtl/>
          <w:lang w:bidi="he-IL"/>
        </w:rPr>
        <w:t xml:space="preserve">עוד סברא שמעתי שיש לדון לגבי חיוב טבילה בכלי זו. דידוע שאחד התנאים הנצרכים לחייב כלי בטבילה הוא שיהיה כלי סעודה. והיינו כלי שמשתמשים בו להכנת המאכל או לעצם האכילה. ולכאורה כלי זו הלא הוא משתמש לחתיכת החלות ולכן מוגדר ככלי סעודה לכל דבר. אלא שמצינו שכל שאינו כלי שאוכלין ממנו ממש צריך לעשות בהמאכל תיקון חשוב כדי להיות מוגדר כלי סעודה להתחייב בטבילה. </w:t>
      </w:r>
    </w:p>
    <w:p w:rsidR="00F1015E" w:rsidRDefault="00BE2737" w:rsidP="00F1015E">
      <w:pPr>
        <w:bidi/>
        <w:spacing w:after="0"/>
        <w:rPr>
          <w:rFonts w:cs="David" w:hint="cs"/>
          <w:sz w:val="28"/>
          <w:szCs w:val="28"/>
          <w:rtl/>
          <w:lang w:bidi="he-IL"/>
        </w:rPr>
      </w:pPr>
      <w:r>
        <w:rPr>
          <w:rFonts w:cs="David" w:hint="cs"/>
          <w:sz w:val="28"/>
          <w:szCs w:val="28"/>
          <w:rtl/>
          <w:lang w:bidi="he-IL"/>
        </w:rPr>
        <w:t xml:space="preserve">כ) בטור כשמביא דין כלי סעודה מביא שיש פטור "כגון מספריים וכיוצא בהן שאינם מצרכי סעודה". ובפשוטו הכוונה הוא למש"כ בגמ' שזוזא דסרבלא פטורים, והם מספריים לחתוך בגדים, וכן ביאר הב"ח. אנמם בפרישה ביאר שהיתר זה הוא גם למספריים שקונבין בהם את הירק, שאינם חייבים טבילה. וביאר שזה "לא מיחשב מעיקר תיקון צרכי סעודה". ובפר"ת ביאר דבריו "תיקון זה דקניבה לא מיקרי כ"כ תיקון שאיו מוכרח וגם אינו מוסיף בו דבר </w:t>
      </w:r>
      <w:r>
        <w:rPr>
          <w:rFonts w:cs="David" w:hint="cs"/>
          <w:sz w:val="28"/>
          <w:szCs w:val="28"/>
          <w:rtl/>
          <w:lang w:bidi="he-IL"/>
        </w:rPr>
        <w:lastRenderedPageBreak/>
        <w:t>מטעם זה". ומבואר שכדי להיות עליו שם כלי סעודה צריך לעשות בו תיקון חשוב. ודברי הפרישה מובאים בש"ך וט"ז ושניהם ס"ל שכן הוא לדינא ודלא כהב"ח.</w:t>
      </w:r>
      <w:r w:rsidR="0095173D">
        <w:rPr>
          <w:rStyle w:val="FootnoteReference"/>
          <w:rFonts w:cs="David"/>
          <w:sz w:val="28"/>
          <w:szCs w:val="28"/>
          <w:rtl/>
          <w:lang w:bidi="he-IL"/>
        </w:rPr>
        <w:footnoteReference w:id="5"/>
      </w:r>
      <w:r w:rsidR="00F1015E">
        <w:rPr>
          <w:rFonts w:cs="David" w:hint="cs"/>
          <w:sz w:val="28"/>
          <w:szCs w:val="28"/>
          <w:rtl/>
          <w:lang w:bidi="he-IL"/>
        </w:rPr>
        <w:t xml:space="preserve"> </w:t>
      </w:r>
    </w:p>
    <w:p w:rsidR="0095173D" w:rsidRDefault="00F61DDB" w:rsidP="00F1015E">
      <w:pPr>
        <w:bidi/>
        <w:rPr>
          <w:rFonts w:cs="David" w:hint="cs"/>
          <w:sz w:val="28"/>
          <w:szCs w:val="28"/>
          <w:rtl/>
          <w:lang w:bidi="he-IL"/>
        </w:rPr>
      </w:pPr>
      <w:r>
        <w:rPr>
          <w:rFonts w:cs="David" w:hint="cs"/>
          <w:sz w:val="28"/>
          <w:szCs w:val="28"/>
          <w:rtl/>
          <w:lang w:bidi="he-IL"/>
        </w:rPr>
        <w:t xml:space="preserve">וכאן אין המגש כ"כ הכרחי לחיתוך החלה ואפשר גם בלעדיו. ומ"מ אולי נידון ככלי סעודה ממש וכמו צלחת שבא לשלחן ואוכלין ישר ממנו. אבל באמת אינו כצלחת ממש  ואין אוכלין ממנו, אלא לוקחים ממנו למקומו ולידו ומשם אוכלים. </w:t>
      </w:r>
    </w:p>
    <w:p w:rsidR="00AD6A67" w:rsidRPr="00AD6A67" w:rsidRDefault="00AD6A67" w:rsidP="00F1015E">
      <w:pPr>
        <w:bidi/>
        <w:rPr>
          <w:rFonts w:cs="David" w:hint="cs"/>
          <w:b/>
          <w:bCs/>
          <w:sz w:val="28"/>
          <w:szCs w:val="28"/>
          <w:rtl/>
          <w:lang w:bidi="he-IL"/>
        </w:rPr>
      </w:pPr>
      <w:r>
        <w:rPr>
          <w:rFonts w:cs="David" w:hint="cs"/>
          <w:b/>
          <w:bCs/>
          <w:sz w:val="28"/>
          <w:szCs w:val="28"/>
          <w:rtl/>
          <w:lang w:bidi="he-IL"/>
        </w:rPr>
        <w:t>העולה מכל זה</w:t>
      </w:r>
    </w:p>
    <w:p w:rsidR="00F1015E" w:rsidRDefault="00F1015E" w:rsidP="00AD6A67">
      <w:pPr>
        <w:bidi/>
        <w:rPr>
          <w:rFonts w:cs="David" w:hint="cs"/>
          <w:sz w:val="28"/>
          <w:szCs w:val="28"/>
          <w:rtl/>
          <w:lang w:bidi="he-IL"/>
        </w:rPr>
      </w:pPr>
      <w:r>
        <w:rPr>
          <w:rFonts w:cs="David" w:hint="cs"/>
          <w:sz w:val="28"/>
          <w:szCs w:val="28"/>
          <w:rtl/>
          <w:lang w:bidi="he-IL"/>
        </w:rPr>
        <w:t>כא) והנה, העלנו כמה צדדים שיש לדון בכלי זה לפוטרו מטבילה, אלא שבכל אחד מהם יש לפקפק טובא וכפי שהזכרנו. ולכן נראה שלמעשה יש לטבול הזכוכית שהוא דבר שאינו כרוך בטירחא או הפסד.</w:t>
      </w:r>
      <w:r w:rsidR="00722D5B">
        <w:rPr>
          <w:rFonts w:cs="David" w:hint="cs"/>
          <w:sz w:val="28"/>
          <w:szCs w:val="28"/>
          <w:rtl/>
          <w:lang w:bidi="he-IL"/>
        </w:rPr>
        <w:t xml:space="preserve"> ובשעת הדחק שלא הספיק לטובלו קודם שבת, לכאורה יש מקום להקל לשימוש חד פעמי בלי טבילה, וצ"ע.</w:t>
      </w:r>
      <w:r w:rsidR="00722D5B">
        <w:rPr>
          <w:rStyle w:val="FootnoteReference"/>
          <w:rFonts w:cs="David"/>
          <w:sz w:val="28"/>
          <w:szCs w:val="28"/>
          <w:rtl/>
          <w:lang w:bidi="he-IL"/>
        </w:rPr>
        <w:footnoteReference w:id="6"/>
      </w:r>
      <w:r>
        <w:rPr>
          <w:rFonts w:cs="David" w:hint="cs"/>
          <w:sz w:val="28"/>
          <w:szCs w:val="28"/>
          <w:rtl/>
          <w:lang w:bidi="he-IL"/>
        </w:rPr>
        <w:t xml:space="preserve"> אלא שיש עוד נקודה לברר בזה. דכל שהמגש נעשית ע"י מפעל של יהודים אינו צריך טבילה כלל שהלא כלי ישראל הוא [ואף אם פועליו גוים עשו הכלי]. ואף אם המגש עצמו נעשית ע"י גוים כל שה</w:t>
      </w:r>
      <w:r w:rsidR="00722D5B">
        <w:rPr>
          <w:rFonts w:cs="David" w:hint="cs"/>
          <w:sz w:val="28"/>
          <w:szCs w:val="28"/>
          <w:rtl/>
          <w:lang w:bidi="he-IL"/>
        </w:rPr>
        <w:t>זכוכית נעשית ע"י ישראל אינו צריך</w:t>
      </w:r>
      <w:r>
        <w:rPr>
          <w:rFonts w:cs="David" w:hint="cs"/>
          <w:sz w:val="28"/>
          <w:szCs w:val="28"/>
          <w:rtl/>
          <w:lang w:bidi="he-IL"/>
        </w:rPr>
        <w:t xml:space="preserve"> טבילה. ולא זו בלבד שהם עשו</w:t>
      </w:r>
      <w:r w:rsidR="00722D5B">
        <w:rPr>
          <w:rFonts w:cs="David" w:hint="cs"/>
          <w:sz w:val="28"/>
          <w:szCs w:val="28"/>
          <w:rtl/>
          <w:lang w:bidi="he-IL"/>
        </w:rPr>
        <w:t xml:space="preserve"> </w:t>
      </w:r>
      <w:r>
        <w:rPr>
          <w:rFonts w:cs="David" w:hint="cs"/>
          <w:sz w:val="28"/>
          <w:szCs w:val="28"/>
          <w:rtl/>
          <w:lang w:bidi="he-IL"/>
        </w:rPr>
        <w:t>הזכוכית, אלא גם אם קנו הזכוכית מגויים וחתכו למדתו והתקינו</w:t>
      </w:r>
      <w:r w:rsidR="00722D5B">
        <w:rPr>
          <w:rFonts w:cs="David" w:hint="cs"/>
          <w:sz w:val="28"/>
          <w:szCs w:val="28"/>
          <w:rtl/>
          <w:lang w:bidi="he-IL"/>
        </w:rPr>
        <w:t xml:space="preserve"> על המגש, פשוט שגם בזה נחשב כלי</w:t>
      </w:r>
      <w:r>
        <w:rPr>
          <w:rFonts w:cs="David" w:hint="cs"/>
          <w:sz w:val="28"/>
          <w:szCs w:val="28"/>
          <w:rtl/>
          <w:lang w:bidi="he-IL"/>
        </w:rPr>
        <w:t xml:space="preserve"> ישראל ופטור מטבילת כלים. </w:t>
      </w:r>
    </w:p>
    <w:sectPr w:rsidR="00F1015E" w:rsidSect="0028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A1D" w:rsidRDefault="00AF4A1D" w:rsidP="00135CE9">
      <w:pPr>
        <w:spacing w:after="0" w:line="240" w:lineRule="auto"/>
      </w:pPr>
      <w:r>
        <w:separator/>
      </w:r>
    </w:p>
  </w:endnote>
  <w:endnote w:type="continuationSeparator" w:id="0">
    <w:p w:rsidR="00AF4A1D" w:rsidRDefault="00AF4A1D" w:rsidP="00135C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A1D" w:rsidRDefault="00AF4A1D" w:rsidP="00135CE9">
      <w:pPr>
        <w:spacing w:after="0" w:line="240" w:lineRule="auto"/>
      </w:pPr>
      <w:r>
        <w:separator/>
      </w:r>
    </w:p>
  </w:footnote>
  <w:footnote w:type="continuationSeparator" w:id="0">
    <w:p w:rsidR="00AF4A1D" w:rsidRDefault="00AF4A1D" w:rsidP="00135CE9">
      <w:pPr>
        <w:spacing w:after="0" w:line="240" w:lineRule="auto"/>
      </w:pPr>
      <w:r>
        <w:continuationSeparator/>
      </w:r>
    </w:p>
  </w:footnote>
  <w:footnote w:id="1">
    <w:p w:rsidR="00135CE9" w:rsidRDefault="00135CE9" w:rsidP="00135CE9">
      <w:pPr>
        <w:pStyle w:val="FootnoteText"/>
        <w:bidi/>
        <w:rPr>
          <w:rFonts w:hint="cs"/>
          <w:rtl/>
          <w:lang w:bidi="he-IL"/>
        </w:rPr>
      </w:pPr>
      <w:r>
        <w:rPr>
          <w:rStyle w:val="FootnoteReference"/>
        </w:rPr>
        <w:footnoteRef/>
      </w:r>
      <w:r>
        <w:t xml:space="preserve"> </w:t>
      </w:r>
      <w:r>
        <w:rPr>
          <w:rFonts w:hint="cs"/>
          <w:rtl/>
          <w:lang w:bidi="he-IL"/>
        </w:rPr>
        <w:t xml:space="preserve"> ובאג"מ יו"ד ח"א סי' נז' מחדש אופן ששייך טבילה לחצאין של הכלי, אמנם עי"ש שרק משום שלדעתו מוגדר כב' כלים נפרדים שהם מחוברים זה לזה, ולכן שייך לטבול חד מהם, משא"כ הכא שהוא באמת חלקים שונים של כלי אחד. </w:t>
      </w:r>
    </w:p>
  </w:footnote>
  <w:footnote w:id="2">
    <w:p w:rsidR="00135CE9" w:rsidRDefault="00135CE9" w:rsidP="00135CE9">
      <w:pPr>
        <w:pStyle w:val="FootnoteText"/>
        <w:bidi/>
        <w:rPr>
          <w:rtl/>
          <w:lang w:bidi="he-IL"/>
        </w:rPr>
      </w:pPr>
      <w:r>
        <w:rPr>
          <w:rStyle w:val="FootnoteReference"/>
        </w:rPr>
        <w:footnoteRef/>
      </w:r>
      <w:r>
        <w:t xml:space="preserve"> </w:t>
      </w:r>
      <w:r>
        <w:rPr>
          <w:rFonts w:hint="cs"/>
          <w:rtl/>
          <w:lang w:bidi="he-IL"/>
        </w:rPr>
        <w:t xml:space="preserve"> ועי' בפר"ת שמדחיק בדברי המרדכי שלעולם דעתו שהולכין רק אחרי מעמד ולא ס"ל הא דתוס', ומה שצריך מקום השתמשות הוא דין בכל הל' מעמד ולא מחמת טבילת כלים.</w:t>
      </w:r>
    </w:p>
  </w:footnote>
  <w:footnote w:id="3">
    <w:p w:rsidR="00135CE9" w:rsidRDefault="00135CE9" w:rsidP="00135CE9">
      <w:pPr>
        <w:pStyle w:val="FootnoteText"/>
        <w:bidi/>
        <w:rPr>
          <w:rtl/>
          <w:lang w:bidi="he-IL"/>
        </w:rPr>
      </w:pPr>
      <w:r>
        <w:rPr>
          <w:rStyle w:val="FootnoteReference"/>
        </w:rPr>
        <w:footnoteRef/>
      </w:r>
      <w:r>
        <w:t xml:space="preserve"> </w:t>
      </w:r>
      <w:r>
        <w:rPr>
          <w:rFonts w:hint="cs"/>
          <w:rtl/>
          <w:lang w:bidi="he-IL"/>
        </w:rPr>
        <w:t xml:space="preserve"> ועי"ש שכתב "וז"ש ובלא היתידות וכו'" ולכאו' כוונתו שזה דעת הרמ"א במש"כ "לא היה אפשר להשתמש בו" שהוא מעמד להשתמשות הכלי אבל לא עצם הכלי, ועדיין צריך עיון לפתור ולהבין דברי קדשו שהם הררים תלויים בשערה כידוע. </w:t>
      </w:r>
    </w:p>
  </w:footnote>
  <w:footnote w:id="4">
    <w:p w:rsidR="008F3917" w:rsidRDefault="008F3917" w:rsidP="008F3917">
      <w:pPr>
        <w:pStyle w:val="FootnoteText"/>
        <w:bidi/>
        <w:rPr>
          <w:rFonts w:hint="cs"/>
          <w:rtl/>
          <w:lang w:bidi="he-IL"/>
        </w:rPr>
      </w:pPr>
      <w:r>
        <w:rPr>
          <w:rStyle w:val="FootnoteReference"/>
        </w:rPr>
        <w:footnoteRef/>
      </w:r>
      <w:r>
        <w:t xml:space="preserve"> </w:t>
      </w:r>
      <w:r>
        <w:rPr>
          <w:rFonts w:hint="cs"/>
          <w:rtl/>
          <w:lang w:bidi="he-IL"/>
        </w:rPr>
        <w:t xml:space="preserve"> בהא דלטומאה מדמינן ליה לחרס, ולטבילה מדמינן ליה למתכת, כבר נתקשה בזה בראשונים, עי' במאירי שבת טז:, ובספר הישר [שו"ת סי' סז']. </w:t>
      </w:r>
    </w:p>
  </w:footnote>
  <w:footnote w:id="5">
    <w:p w:rsidR="0095173D" w:rsidRPr="0095173D" w:rsidRDefault="0095173D" w:rsidP="0095173D">
      <w:pPr>
        <w:bidi/>
        <w:rPr>
          <w:rFonts w:ascii="Arial" w:hAnsi="Arial" w:cs="Arial" w:hint="cs"/>
          <w:sz w:val="20"/>
          <w:szCs w:val="20"/>
          <w:rtl/>
          <w:lang w:bidi="he-IL"/>
        </w:rPr>
      </w:pPr>
      <w:r>
        <w:rPr>
          <w:rStyle w:val="FootnoteReference"/>
        </w:rPr>
        <w:footnoteRef/>
      </w:r>
      <w:r>
        <w:t xml:space="preserve"> </w:t>
      </w:r>
      <w:r>
        <w:rPr>
          <w:rFonts w:hint="cs"/>
          <w:rtl/>
          <w:lang w:bidi="he-IL"/>
        </w:rPr>
        <w:t xml:space="preserve"> </w:t>
      </w:r>
      <w:r w:rsidRPr="0095173D">
        <w:rPr>
          <w:rFonts w:ascii="Arial" w:hAnsi="Arial" w:cs="Arial"/>
          <w:sz w:val="20"/>
          <w:szCs w:val="20"/>
          <w:rtl/>
          <w:lang w:bidi="he-IL"/>
        </w:rPr>
        <w:t xml:space="preserve">ונראה לפי זה שמקלף יש לטבול בלי ברכה, וכן ראיתי בשם הגר"י בעלסקי בספרו שלחן הלוי. אלא אם נימא שקילוף בזמניהם לא היה חשוב כתיקון כ"כ. משא"כ בזמנינו יש יותר חשיבות בעיני הבריות לתיקון זה. דהלא בפר"ת איתא שאין תיקון זה מוכרח, ובזמנינו הוא מוכרח לאכילת גזר וקולרבי. וכן נראה שיש חשיבות לקילוף תפוחי אדמה וכדו' לפני בישולן [אלא שזה תיקון לפני שהם ראוי לאכילה]. ומ"מ נראה שעל הרוב הוא תיקון שאינו מוכרח ויש לטובלו בלי ברכה. </w:t>
      </w:r>
    </w:p>
  </w:footnote>
  <w:footnote w:id="6">
    <w:p w:rsidR="00722D5B" w:rsidRDefault="00722D5B" w:rsidP="00722D5B">
      <w:pPr>
        <w:pStyle w:val="FootnoteText"/>
        <w:bidi/>
        <w:rPr>
          <w:rFonts w:hint="cs"/>
          <w:rtl/>
          <w:lang w:bidi="he-IL"/>
        </w:rPr>
      </w:pPr>
      <w:r>
        <w:rPr>
          <w:rStyle w:val="FootnoteReference"/>
        </w:rPr>
        <w:footnoteRef/>
      </w:r>
      <w:r>
        <w:t xml:space="preserve"> </w:t>
      </w:r>
      <w:r w:rsidR="00AD6A67">
        <w:rPr>
          <w:rFonts w:hint="cs"/>
          <w:rtl/>
          <w:lang w:bidi="he-IL"/>
        </w:rPr>
        <w:t xml:space="preserve"> ב</w:t>
      </w:r>
      <w:r>
        <w:rPr>
          <w:rFonts w:hint="cs"/>
          <w:rtl/>
          <w:lang w:bidi="he-IL"/>
        </w:rPr>
        <w:t xml:space="preserve">כמה ספרים ראיתי עצה במקרה כזה שלא היה פנאי לטובלו לפני שבת, והוא להפקיר הכלי ובזה שאין עליו בעלים ישראל אין על הכלי חיוב טבילה ומותר להשתמש בו. ולדידי צ"ע טובא בזה, דעצה פשוטה כזה אם באמת מהני איך לא הזכירו כלל לדורי דורות של ראשונים ואחרונים, </w:t>
      </w:r>
      <w:r w:rsidR="00111062">
        <w:rPr>
          <w:rFonts w:hint="cs"/>
          <w:rtl/>
          <w:lang w:bidi="he-IL"/>
        </w:rPr>
        <w:t xml:space="preserve">וסתימת כל הפוסקים בזה נראה כמפורש לאיסור. והטעם מסתמא שכל כה"ג אינו אלא הערמה בעלמא, ועדיין שם הישראל נקרא עליו בזה שהוא אינו מוציא הכלי מרשותו וממשיך להשתמש בו כרגיל, ולכן חיוב הטבילה אינו פקע כלל, כך נלע"ד, וצ"ע.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5CE9"/>
    <w:rsid w:val="000C25EC"/>
    <w:rsid w:val="000E19C6"/>
    <w:rsid w:val="00111062"/>
    <w:rsid w:val="00135CE9"/>
    <w:rsid w:val="001C4598"/>
    <w:rsid w:val="00284709"/>
    <w:rsid w:val="0040435F"/>
    <w:rsid w:val="005462CF"/>
    <w:rsid w:val="00547CAD"/>
    <w:rsid w:val="005F0152"/>
    <w:rsid w:val="006146B8"/>
    <w:rsid w:val="006B32B2"/>
    <w:rsid w:val="006C68CC"/>
    <w:rsid w:val="00714E25"/>
    <w:rsid w:val="00722D5B"/>
    <w:rsid w:val="008A1AEF"/>
    <w:rsid w:val="008F0F9F"/>
    <w:rsid w:val="008F3917"/>
    <w:rsid w:val="0095173D"/>
    <w:rsid w:val="009A3298"/>
    <w:rsid w:val="00AC6AD1"/>
    <w:rsid w:val="00AD6A67"/>
    <w:rsid w:val="00AF4A1D"/>
    <w:rsid w:val="00AF65B7"/>
    <w:rsid w:val="00BE2737"/>
    <w:rsid w:val="00DE4168"/>
    <w:rsid w:val="00DF70A7"/>
    <w:rsid w:val="00E50271"/>
    <w:rsid w:val="00F1015E"/>
    <w:rsid w:val="00F37149"/>
    <w:rsid w:val="00F41C58"/>
    <w:rsid w:val="00F46E7D"/>
    <w:rsid w:val="00F61DDB"/>
    <w:rsid w:val="00FD349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C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5C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CE9"/>
    <w:rPr>
      <w:sz w:val="20"/>
      <w:szCs w:val="20"/>
    </w:rPr>
  </w:style>
  <w:style w:type="character" w:styleId="FootnoteReference">
    <w:name w:val="footnote reference"/>
    <w:basedOn w:val="DefaultParagraphFont"/>
    <w:uiPriority w:val="99"/>
    <w:semiHidden/>
    <w:unhideWhenUsed/>
    <w:rsid w:val="00135CE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19661-1911-4953-BA25-80B67045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6</Pages>
  <Words>2020</Words>
  <Characters>11515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ladersh</dc:creator>
  <cp:keywords/>
  <dc:description/>
  <cp:lastModifiedBy>ladersh</cp:lastModifiedBy>
  <cp:revision>16</cp:revision>
  <dcterms:created xsi:type="dcterms:W3CDTF">2012-11-21T19:50:00Z</dcterms:created>
  <dcterms:modified xsi:type="dcterms:W3CDTF">2012-11-22T20:42:00Z</dcterms:modified>
</cp:coreProperties>
</file>