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09" w:rsidRDefault="00AE0669" w:rsidP="005B26A1">
      <w:pPr>
        <w:bidi/>
        <w:spacing w:after="0"/>
        <w:rPr>
          <w:rFonts w:cs="David"/>
          <w:sz w:val="28"/>
          <w:szCs w:val="28"/>
          <w:rtl/>
          <w:lang w:bidi="he-IL"/>
        </w:rPr>
      </w:pPr>
      <w:r>
        <w:rPr>
          <w:rFonts w:cs="David" w:hint="cs"/>
          <w:sz w:val="28"/>
          <w:szCs w:val="28"/>
          <w:rtl/>
          <w:lang w:bidi="he-IL"/>
        </w:rPr>
        <w:t xml:space="preserve">הל' </w:t>
      </w:r>
      <w:r w:rsidR="005B26A1">
        <w:rPr>
          <w:rFonts w:cs="David" w:hint="cs"/>
          <w:sz w:val="28"/>
          <w:szCs w:val="28"/>
          <w:rtl/>
          <w:lang w:bidi="he-IL"/>
        </w:rPr>
        <w:t>טבילת כלים</w:t>
      </w:r>
      <w:r>
        <w:rPr>
          <w:rFonts w:cs="David" w:hint="cs"/>
          <w:sz w:val="28"/>
          <w:szCs w:val="28"/>
          <w:rtl/>
          <w:lang w:bidi="he-IL"/>
        </w:rPr>
        <w:t xml:space="preserve">   </w:t>
      </w:r>
      <w:r w:rsidR="00745C9A">
        <w:rPr>
          <w:rFonts w:cs="David" w:hint="cs"/>
          <w:sz w:val="28"/>
          <w:szCs w:val="28"/>
          <w:rtl/>
          <w:lang w:bidi="he-IL"/>
        </w:rPr>
        <w:t xml:space="preserve">יו"ד </w:t>
      </w:r>
      <w:r>
        <w:rPr>
          <w:rFonts w:cs="David" w:hint="cs"/>
          <w:sz w:val="28"/>
          <w:szCs w:val="28"/>
          <w:rtl/>
          <w:lang w:bidi="he-IL"/>
        </w:rPr>
        <w:t>סי' ק"כ</w:t>
      </w:r>
    </w:p>
    <w:p w:rsidR="005B26A1" w:rsidRDefault="005B26A1" w:rsidP="005B26A1">
      <w:pPr>
        <w:bidi/>
        <w:rPr>
          <w:rFonts w:cs="David"/>
          <w:sz w:val="28"/>
          <w:szCs w:val="28"/>
          <w:rtl/>
          <w:lang w:bidi="he-IL"/>
        </w:rPr>
      </w:pPr>
      <w:r>
        <w:rPr>
          <w:rFonts w:cs="David" w:hint="cs"/>
          <w:sz w:val="28"/>
          <w:szCs w:val="28"/>
          <w:rtl/>
          <w:lang w:bidi="he-IL"/>
        </w:rPr>
        <w:t>שיעור ג'  תורת כלי למצות טבילת כלים</w:t>
      </w:r>
    </w:p>
    <w:p w:rsidR="005B26A1" w:rsidRDefault="005B26A1" w:rsidP="005B26A1">
      <w:pPr>
        <w:bidi/>
        <w:rPr>
          <w:rFonts w:cs="David"/>
          <w:sz w:val="28"/>
          <w:szCs w:val="28"/>
          <w:rtl/>
          <w:lang w:bidi="he-IL"/>
        </w:rPr>
      </w:pPr>
      <w:r>
        <w:rPr>
          <w:rFonts w:cs="David" w:hint="cs"/>
          <w:sz w:val="28"/>
          <w:szCs w:val="28"/>
          <w:rtl/>
          <w:lang w:bidi="he-IL"/>
        </w:rPr>
        <w:t xml:space="preserve">א) </w:t>
      </w:r>
      <w:r w:rsidR="003C140C">
        <w:rPr>
          <w:rFonts w:cs="David" w:hint="cs"/>
          <w:sz w:val="28"/>
          <w:szCs w:val="28"/>
          <w:rtl/>
          <w:lang w:bidi="he-IL"/>
        </w:rPr>
        <w:t>בסוגיא דטבילת כלים מצינו כמה פרטים וגדרים, מהם הכלים שחייבים ומהם הפטורים מטבילת כלים. וכגון איזה חומר כלי חייב, ורק כלי סעודה, ורק בבעלות של ישראל לגמרי. אמנם לגבי עצם צורת הכלי ושלימותו לא מצינו להדיא מה הדין לגבי טבילה. ויש לדון האם יש לנו לדמות הכללים והדינים שמצינו במס' כלים לגבי טומאה וטהרה לענינינו. או דילמא</w:t>
      </w:r>
      <w:r w:rsidR="00AF6E0C">
        <w:rPr>
          <w:rFonts w:cs="David" w:hint="cs"/>
          <w:sz w:val="28"/>
          <w:szCs w:val="28"/>
          <w:rtl/>
          <w:lang w:bidi="he-IL"/>
        </w:rPr>
        <w:t xml:space="preserve"> שאני טבילת כלים שאינו משום טומאה וטהרה ממש [עי' לעיל שיעור א' מה שנתבאר בשורש חיוב הטבילה אם הוא משום טומאת עכו"ם או משום קדושת ישראל] אלא גזירת המלך ואין למו לדמות מילתא למילתא. ויש בזה כמה וכמה נ"מ גדולות, וכמו שיתבאר.</w:t>
      </w:r>
    </w:p>
    <w:p w:rsidR="00AF6E0C" w:rsidRDefault="00AF6E0C" w:rsidP="00AF6E0C">
      <w:pPr>
        <w:bidi/>
        <w:rPr>
          <w:rFonts w:cs="David"/>
          <w:sz w:val="28"/>
          <w:szCs w:val="28"/>
          <w:rtl/>
          <w:lang w:bidi="he-IL"/>
        </w:rPr>
      </w:pPr>
      <w:r>
        <w:rPr>
          <w:rFonts w:cs="David" w:hint="cs"/>
          <w:sz w:val="28"/>
          <w:szCs w:val="28"/>
          <w:rtl/>
          <w:lang w:bidi="he-IL"/>
        </w:rPr>
        <w:t>ב) והנה, בכמה אחרונים העירו על מנהג העולם שלא לטבול יורות שקנו מן העכו"ם וקבעו בתנור בית החורף</w:t>
      </w:r>
      <w:r w:rsidR="001E3515">
        <w:rPr>
          <w:rFonts w:cs="David" w:hint="cs"/>
          <w:sz w:val="28"/>
          <w:szCs w:val="28"/>
          <w:rtl/>
          <w:lang w:bidi="he-IL"/>
        </w:rPr>
        <w:t>,</w:t>
      </w:r>
      <w:r>
        <w:rPr>
          <w:rFonts w:cs="David" w:hint="cs"/>
          <w:sz w:val="28"/>
          <w:szCs w:val="28"/>
          <w:rtl/>
          <w:lang w:bidi="he-IL"/>
        </w:rPr>
        <w:t xml:space="preserve"> שמבשלים בהם מים והשתמשו בו גם לעשיית תה וכדומה. </w:t>
      </w:r>
      <w:r w:rsidR="001E3515">
        <w:rPr>
          <w:rFonts w:cs="David" w:hint="cs"/>
          <w:sz w:val="28"/>
          <w:szCs w:val="28"/>
          <w:rtl/>
          <w:lang w:bidi="he-IL"/>
        </w:rPr>
        <w:t>ובשו"ת שב יעקב סי' לא' מביא כמה טעמים להקל בזה. ומחדש שכיון שכלים אלו מחוברים לקרקע ונעשו מל</w:t>
      </w:r>
      <w:r w:rsidR="009F4BCA">
        <w:rPr>
          <w:rFonts w:cs="David" w:hint="cs"/>
          <w:sz w:val="28"/>
          <w:szCs w:val="28"/>
          <w:rtl/>
          <w:lang w:bidi="he-IL"/>
        </w:rPr>
        <w:t>חתכילה לקובעם שם, כלים כאלו אינם מקבלים</w:t>
      </w:r>
      <w:r w:rsidR="001E3515">
        <w:rPr>
          <w:rFonts w:cs="David" w:hint="cs"/>
          <w:sz w:val="28"/>
          <w:szCs w:val="28"/>
          <w:rtl/>
          <w:lang w:bidi="he-IL"/>
        </w:rPr>
        <w:t xml:space="preserve"> טומאה. וא"כ ה"ה לגבי טבילת כלים אין להם טומאת עכו"ם ואינם חייבים בטבילת כלים. הרי שגדר כלי שוה בזה לטומאה וטהרה. אמנם בשו"ת גדולי טהרה [סי' יז'] חולק עליו בזה שאין לדמות אהדדי. ומוכיח כן מהא דמצינו שלגבי טבילת כלים גם כיסוי הקדירה חייב בטבילה. ולגבי טומאה מבואר במס' כלים פרק יד' מש' ג' שכיסוי כלים הואיל ואין להם שם לעצמם אינם מקבלים טומאה. ועי' בשו"ת מנחת יצחק </w:t>
      </w:r>
      <w:r w:rsidR="00807C06">
        <w:rPr>
          <w:rFonts w:cs="David" w:hint="cs"/>
          <w:sz w:val="28"/>
          <w:szCs w:val="28"/>
          <w:rtl/>
          <w:lang w:bidi="he-IL"/>
        </w:rPr>
        <w:t>[חלק ד' סי' קי"ד אות ד'] שחושש לדבריו ולכן כותב שדברי השב יעקב אינם אליבא דהילכתא עי"ש.</w:t>
      </w:r>
    </w:p>
    <w:p w:rsidR="00FC5C2F" w:rsidRDefault="00807C06" w:rsidP="00807C06">
      <w:pPr>
        <w:bidi/>
        <w:rPr>
          <w:rFonts w:cs="David"/>
          <w:sz w:val="28"/>
          <w:szCs w:val="28"/>
          <w:rtl/>
          <w:lang w:bidi="he-IL"/>
        </w:rPr>
      </w:pPr>
      <w:r>
        <w:rPr>
          <w:rFonts w:cs="David" w:hint="cs"/>
          <w:sz w:val="28"/>
          <w:szCs w:val="28"/>
          <w:rtl/>
          <w:lang w:bidi="he-IL"/>
        </w:rPr>
        <w:t xml:space="preserve">ג) אמנם באמת כבר מצינו בראשונים שהתייחסו </w:t>
      </w:r>
      <w:r w:rsidR="009F4BCA">
        <w:rPr>
          <w:rFonts w:cs="David" w:hint="cs"/>
          <w:sz w:val="28"/>
          <w:szCs w:val="28"/>
          <w:rtl/>
          <w:lang w:bidi="he-IL"/>
        </w:rPr>
        <w:t>לשאלה זו ועשו דמיון בין טומאה לט</w:t>
      </w:r>
      <w:r>
        <w:rPr>
          <w:rFonts w:cs="David" w:hint="cs"/>
          <w:sz w:val="28"/>
          <w:szCs w:val="28"/>
          <w:rtl/>
          <w:lang w:bidi="he-IL"/>
        </w:rPr>
        <w:t xml:space="preserve">בילה, וכמו שיתבאר. </w:t>
      </w:r>
      <w:r w:rsidR="00FC5C2F">
        <w:rPr>
          <w:rFonts w:cs="David" w:hint="cs"/>
          <w:sz w:val="28"/>
          <w:szCs w:val="28"/>
          <w:rtl/>
          <w:lang w:bidi="he-IL"/>
        </w:rPr>
        <w:t>בתוס' עה: [ד"ה---] כתב שהא דאיתא בגמ' שכלי שיש בו ציפוי של מתכת [ק</w:t>
      </w:r>
      <w:r w:rsidR="009F4BCA">
        <w:rPr>
          <w:rFonts w:cs="David" w:hint="cs"/>
          <w:sz w:val="28"/>
          <w:szCs w:val="28"/>
          <w:rtl/>
          <w:lang w:bidi="he-IL"/>
        </w:rPr>
        <w:t>וניא] חייב בטבילה משום הציפוי, ז</w:t>
      </w:r>
      <w:r w:rsidR="00FC5C2F">
        <w:rPr>
          <w:rFonts w:cs="David" w:hint="cs"/>
          <w:sz w:val="28"/>
          <w:szCs w:val="28"/>
          <w:rtl/>
          <w:lang w:bidi="he-IL"/>
        </w:rPr>
        <w:t xml:space="preserve">ה רק כשיש ציפוי מבפים במקום שהאוכל נוגע. וביאר דאף להשיטות שהולכין בתר מעמיד, וא"כ גם ציפוי מבחוץ שעושה מעמד הכלי, לכאו' הכלי מוגדר ככלי מתכת משום המעמד. מ"מ שאני טבילת כלים שהתנאי של כלי סעודה הוא שישתמש בכלי דרך המתכת, שהוא הכלי סעודה. ולכן כל שהציפוי בחוץ אף שהוא המעמד אינו מחייב טבילה משום זה. </w:t>
      </w:r>
    </w:p>
    <w:p w:rsidR="00AA7189" w:rsidRDefault="00FC5C2F" w:rsidP="00FC5C2F">
      <w:pPr>
        <w:bidi/>
        <w:rPr>
          <w:rFonts w:cs="David"/>
          <w:sz w:val="28"/>
          <w:szCs w:val="28"/>
          <w:rtl/>
          <w:lang w:bidi="he-IL"/>
        </w:rPr>
      </w:pPr>
      <w:r>
        <w:rPr>
          <w:rFonts w:cs="David" w:hint="cs"/>
          <w:sz w:val="28"/>
          <w:szCs w:val="28"/>
          <w:rtl/>
          <w:lang w:bidi="he-IL"/>
        </w:rPr>
        <w:t xml:space="preserve">ד) ויש להסתפק בכוונת התוס', האם כוונתו שלגבי טבילת כלים אין הולכים בתר מעמד כלל, או דילמא רק הוסיף עוד פרט של מקום ההשתמשות ומ"מ עדיין הולכין אחר המעמד. ונ"מ בזה באופן שמקום ההשתמשות [פנים הכלי] הוא בעיקר מעץ וכדו' שפטור מן הטבילה. </w:t>
      </w:r>
      <w:r w:rsidR="00FA5984">
        <w:rPr>
          <w:rFonts w:cs="David" w:hint="cs"/>
          <w:sz w:val="28"/>
          <w:szCs w:val="28"/>
          <w:rtl/>
          <w:lang w:bidi="he-IL"/>
        </w:rPr>
        <w:t>ויש מעמד של מתכת בפנים הכלי במקום הה</w:t>
      </w:r>
      <w:r w:rsidR="003100D6">
        <w:rPr>
          <w:rFonts w:cs="David" w:hint="cs"/>
          <w:sz w:val="28"/>
          <w:szCs w:val="28"/>
          <w:rtl/>
          <w:lang w:bidi="he-IL"/>
        </w:rPr>
        <w:t>שתמשות, אלא שהמעמד הוא קטן ביחס</w:t>
      </w:r>
      <w:r w:rsidR="00FA5984">
        <w:rPr>
          <w:rFonts w:cs="David" w:hint="cs"/>
          <w:sz w:val="28"/>
          <w:szCs w:val="28"/>
          <w:rtl/>
          <w:lang w:bidi="he-IL"/>
        </w:rPr>
        <w:t xml:space="preserve"> לגבי העץ. האם בזה הולכין אחר המעמד שהוא במקום ההשתמשות. או דילמא אין מתחשבין אם מעמד כלל ועיקר כלי זו הלא הוא מעץ, וא"כ פטור מטבילה. </w:t>
      </w:r>
    </w:p>
    <w:p w:rsidR="00FF08CE" w:rsidRDefault="00AA7189" w:rsidP="00AA7189">
      <w:pPr>
        <w:bidi/>
        <w:rPr>
          <w:rFonts w:cs="David"/>
          <w:sz w:val="28"/>
          <w:szCs w:val="28"/>
          <w:rtl/>
          <w:lang w:bidi="he-IL"/>
        </w:rPr>
      </w:pPr>
      <w:r>
        <w:rPr>
          <w:rFonts w:cs="David" w:hint="cs"/>
          <w:sz w:val="28"/>
          <w:szCs w:val="28"/>
          <w:rtl/>
          <w:lang w:bidi="he-IL"/>
        </w:rPr>
        <w:t>ו) והנה ברמ"א סע' ז' מביא הדין של כלים המורכבים ממתכת ועץ [או שאר דבר הפטור מטבילה], וכתב שהולכין תמיד אחר העיקר והטפל בטל לגבי העיקר הכלי.</w:t>
      </w:r>
      <w:r w:rsidR="00FA5984">
        <w:rPr>
          <w:rFonts w:cs="David" w:hint="cs"/>
          <w:sz w:val="28"/>
          <w:szCs w:val="28"/>
          <w:rtl/>
          <w:lang w:bidi="he-IL"/>
        </w:rPr>
        <w:t xml:space="preserve"> </w:t>
      </w:r>
      <w:r w:rsidR="009B1801">
        <w:rPr>
          <w:rFonts w:cs="David" w:hint="cs"/>
          <w:sz w:val="28"/>
          <w:szCs w:val="28"/>
          <w:rtl/>
          <w:lang w:bidi="he-IL"/>
        </w:rPr>
        <w:t xml:space="preserve">ומסיים שם "אבל כלי המתוקן ביתדות של ברזל ובלא הברזל לא היה אפשר להשתמש בו והם מבפנים, צריך טבילה". ועי' בפר"ח שם שהבין שבכה"ג שיש מעמד בפנים הולכים אחר המעמד, דיש בזה תרתי לטיבותא, מקום התשמיש וגם מעמד. </w:t>
      </w:r>
      <w:r w:rsidR="00FF08CE">
        <w:rPr>
          <w:rFonts w:cs="David" w:hint="cs"/>
          <w:sz w:val="28"/>
          <w:szCs w:val="28"/>
          <w:rtl/>
          <w:lang w:bidi="he-IL"/>
        </w:rPr>
        <w:t>ולפי"ז מוסיף הפר"ח, והוא מה</w:t>
      </w:r>
      <w:r w:rsidR="003100D6">
        <w:rPr>
          <w:rFonts w:cs="David" w:hint="cs"/>
          <w:sz w:val="28"/>
          <w:szCs w:val="28"/>
          <w:rtl/>
          <w:lang w:bidi="he-IL"/>
        </w:rPr>
        <w:t>מ</w:t>
      </w:r>
      <w:r w:rsidR="00FF08CE">
        <w:rPr>
          <w:rFonts w:cs="David" w:hint="cs"/>
          <w:sz w:val="28"/>
          <w:szCs w:val="28"/>
          <w:rtl/>
          <w:lang w:bidi="he-IL"/>
        </w:rPr>
        <w:t xml:space="preserve">רדכי, שה"ה כלי </w:t>
      </w:r>
      <w:r w:rsidR="00FF08CE">
        <w:rPr>
          <w:rFonts w:cs="David" w:hint="cs"/>
          <w:sz w:val="28"/>
          <w:szCs w:val="28"/>
          <w:rtl/>
          <w:lang w:bidi="he-IL"/>
        </w:rPr>
        <w:lastRenderedPageBreak/>
        <w:t xml:space="preserve">עץ שיש בו נקב ומלאהו עם מתכת, נמצא שיש מעמד ובמקום השתמשות האוכל, גם בזה יש תרתי לטיבותא וחייב בטבילה. </w:t>
      </w:r>
    </w:p>
    <w:p w:rsidR="000A5D54" w:rsidRDefault="00FF08CE" w:rsidP="00FF08CE">
      <w:pPr>
        <w:bidi/>
        <w:rPr>
          <w:rFonts w:cs="David"/>
          <w:sz w:val="28"/>
          <w:szCs w:val="28"/>
          <w:rtl/>
          <w:lang w:bidi="he-IL"/>
        </w:rPr>
      </w:pPr>
      <w:r>
        <w:rPr>
          <w:rFonts w:cs="David" w:hint="cs"/>
          <w:sz w:val="28"/>
          <w:szCs w:val="28"/>
          <w:rtl/>
          <w:lang w:bidi="he-IL"/>
        </w:rPr>
        <w:t>ז) ועי"ש בפרי תואר</w:t>
      </w:r>
      <w:r w:rsidR="009B1801">
        <w:rPr>
          <w:rFonts w:cs="David" w:hint="cs"/>
          <w:sz w:val="28"/>
          <w:szCs w:val="28"/>
          <w:rtl/>
          <w:lang w:bidi="he-IL"/>
        </w:rPr>
        <w:t xml:space="preserve"> </w:t>
      </w:r>
      <w:r w:rsidR="003100D6">
        <w:rPr>
          <w:rFonts w:cs="David" w:hint="cs"/>
          <w:sz w:val="28"/>
          <w:szCs w:val="28"/>
          <w:rtl/>
          <w:lang w:bidi="he-IL"/>
        </w:rPr>
        <w:t>שחולק עליו דכה"ג</w:t>
      </w:r>
      <w:r>
        <w:rPr>
          <w:rFonts w:cs="David" w:hint="cs"/>
          <w:sz w:val="28"/>
          <w:szCs w:val="28"/>
          <w:rtl/>
          <w:lang w:bidi="he-IL"/>
        </w:rPr>
        <w:t xml:space="preserve"> שעיקר הכלי הוא עץ ורק</w:t>
      </w:r>
      <w:r w:rsidR="003100D6">
        <w:rPr>
          <w:rFonts w:cs="David" w:hint="cs"/>
          <w:sz w:val="28"/>
          <w:szCs w:val="28"/>
          <w:rtl/>
          <w:lang w:bidi="he-IL"/>
        </w:rPr>
        <w:t xml:space="preserve"> מקום קטן </w:t>
      </w:r>
      <w:r>
        <w:rPr>
          <w:rFonts w:cs="David" w:hint="cs"/>
          <w:sz w:val="28"/>
          <w:szCs w:val="28"/>
          <w:rtl/>
          <w:lang w:bidi="he-IL"/>
        </w:rPr>
        <w:t xml:space="preserve">הוא של מתכת, עדיין העקר הכלי הוא העץ ופטור מטבילה. ולא איכפת לן ממעמד שהלא כבר מבואר בתוס' ועוד שאין הולכין אחר המעמד לגבי טבילת כלים. והוא הבין שאין הולכים כלל אחר מעמד. </w:t>
      </w:r>
      <w:r w:rsidR="0043430C">
        <w:rPr>
          <w:rFonts w:cs="David" w:hint="cs"/>
          <w:sz w:val="28"/>
          <w:szCs w:val="28"/>
          <w:rtl/>
          <w:lang w:bidi="he-IL"/>
        </w:rPr>
        <w:t>ומשמע מהפר"ת שלעולם מסכים לדינא של האמ"א, וכנראה הבין דשם אינו משום המעמד אלא לעולם המתכת שם הוא דבר חשוב וגדול בתוך הכלי ולכן אינו בטל, משא"כ נקב שנסתם.</w:t>
      </w:r>
    </w:p>
    <w:p w:rsidR="00D518CA" w:rsidRDefault="000A5D54" w:rsidP="000A5D54">
      <w:pPr>
        <w:bidi/>
        <w:rPr>
          <w:rFonts w:cs="David"/>
          <w:sz w:val="28"/>
          <w:szCs w:val="28"/>
          <w:rtl/>
          <w:lang w:bidi="he-IL"/>
        </w:rPr>
      </w:pPr>
      <w:r>
        <w:rPr>
          <w:rFonts w:cs="David" w:hint="cs"/>
          <w:sz w:val="28"/>
          <w:szCs w:val="28"/>
          <w:rtl/>
          <w:lang w:bidi="he-IL"/>
        </w:rPr>
        <w:t>ח) והנה, מקור דברי הרמ"א הם במרדכי בעבודה זרה [עה:] ושם מבואר</w:t>
      </w:r>
      <w:r w:rsidR="00FA5984">
        <w:rPr>
          <w:rFonts w:cs="David" w:hint="cs"/>
          <w:sz w:val="28"/>
          <w:szCs w:val="28"/>
          <w:rtl/>
          <w:lang w:bidi="he-IL"/>
        </w:rPr>
        <w:t xml:space="preserve"> </w:t>
      </w:r>
      <w:r>
        <w:rPr>
          <w:rFonts w:cs="David" w:hint="cs"/>
          <w:sz w:val="28"/>
          <w:szCs w:val="28"/>
          <w:rtl/>
          <w:lang w:bidi="he-IL"/>
        </w:rPr>
        <w:t>להדיא כדברי הפר"ח, שלעולם גם לבסרת תוס' שצריכין מקום השתמשות, מ"מ ג"כ הולכין אחר מעמד. וז"ל המרדכי "ואע"ג דהכל הולך</w:t>
      </w:r>
      <w:r w:rsidR="003100D6">
        <w:rPr>
          <w:rFonts w:cs="David" w:hint="cs"/>
          <w:sz w:val="28"/>
          <w:szCs w:val="28"/>
          <w:rtl/>
          <w:lang w:bidi="he-IL"/>
        </w:rPr>
        <w:t xml:space="preserve"> אחר המעמד, ה"מ היכי דמ</w:t>
      </w:r>
      <w:r>
        <w:rPr>
          <w:rFonts w:cs="David" w:hint="cs"/>
          <w:sz w:val="28"/>
          <w:szCs w:val="28"/>
          <w:rtl/>
          <w:lang w:bidi="he-IL"/>
        </w:rPr>
        <w:t>שמש דרך המעמד כמו נקב שנסתם...אבל הני דליים שהמעמיד אין בתוכו א"צ טבילה"</w:t>
      </w:r>
      <w:r w:rsidR="000B553E">
        <w:rPr>
          <w:rFonts w:cs="David" w:hint="cs"/>
          <w:sz w:val="28"/>
          <w:szCs w:val="28"/>
          <w:rtl/>
          <w:lang w:bidi="he-IL"/>
        </w:rPr>
        <w:t>.</w:t>
      </w:r>
      <w:r>
        <w:rPr>
          <w:rStyle w:val="FootnoteReference"/>
          <w:rFonts w:cs="David"/>
          <w:sz w:val="28"/>
          <w:szCs w:val="28"/>
          <w:rtl/>
          <w:lang w:bidi="he-IL"/>
        </w:rPr>
        <w:footnoteReference w:id="1"/>
      </w:r>
      <w:r>
        <w:rPr>
          <w:rFonts w:cs="David" w:hint="cs"/>
          <w:sz w:val="28"/>
          <w:szCs w:val="28"/>
          <w:rtl/>
          <w:lang w:bidi="he-IL"/>
        </w:rPr>
        <w:t xml:space="preserve"> </w:t>
      </w:r>
      <w:r w:rsidR="000B553E">
        <w:rPr>
          <w:rFonts w:cs="David" w:hint="cs"/>
          <w:sz w:val="28"/>
          <w:szCs w:val="28"/>
          <w:rtl/>
          <w:lang w:bidi="he-IL"/>
        </w:rPr>
        <w:t xml:space="preserve">ומבואר שהולכין בתר מעמד אלא שיש תנאי נוסף של מקום השתמשות. ועוד מביא שם דעת המהר"ם שלעולם לא סבירא ליה מתנאי זו ולכן לדעתו הולכין בתר כל מעמד, גם כשהוא בחוץ. </w:t>
      </w:r>
      <w:r w:rsidR="00D518CA">
        <w:rPr>
          <w:rFonts w:cs="David" w:hint="cs"/>
          <w:sz w:val="28"/>
          <w:szCs w:val="28"/>
          <w:rtl/>
          <w:lang w:bidi="he-IL"/>
        </w:rPr>
        <w:t xml:space="preserve">ומביא שם לשון המהר"ם שהא דהולכין בטבילת כלים אחר המעמד הוא משום ש"מדמינן טבילה לטומאה לענין הלך אחר המעמד". ובזה לא פליג המרדכי ורק בתנאי של מקום השתמשות, כנ"ל. </w:t>
      </w:r>
    </w:p>
    <w:p w:rsidR="00807C06" w:rsidRDefault="00D518CA" w:rsidP="00D518CA">
      <w:pPr>
        <w:bidi/>
        <w:rPr>
          <w:rFonts w:cs="David"/>
          <w:sz w:val="28"/>
          <w:szCs w:val="28"/>
          <w:rtl/>
          <w:lang w:bidi="he-IL"/>
        </w:rPr>
      </w:pPr>
      <w:r>
        <w:rPr>
          <w:rFonts w:cs="David" w:hint="cs"/>
          <w:sz w:val="28"/>
          <w:szCs w:val="28"/>
          <w:rtl/>
          <w:lang w:bidi="he-IL"/>
        </w:rPr>
        <w:t xml:space="preserve">ט) וכל זה מפורש להדיא בביאור הגר"א ס"ק יט' שרק בפרט זה פליגי הראשונים </w:t>
      </w:r>
      <w:r w:rsidRPr="00D518CA">
        <w:rPr>
          <w:rFonts w:cs="David" w:hint="cs"/>
          <w:sz w:val="28"/>
          <w:szCs w:val="28"/>
          <w:rtl/>
          <w:lang w:bidi="he-IL"/>
        </w:rPr>
        <w:t>"</w:t>
      </w:r>
      <w:r w:rsidRPr="00D518CA">
        <w:rPr>
          <w:rFonts w:cs="David" w:hint="cs"/>
          <w:sz w:val="28"/>
          <w:szCs w:val="28"/>
          <w:u w:val="single"/>
          <w:rtl/>
          <w:lang w:bidi="he-IL"/>
        </w:rPr>
        <w:t>אבל</w:t>
      </w:r>
      <w:r w:rsidR="00FA5984" w:rsidRPr="00D518CA">
        <w:rPr>
          <w:rFonts w:cs="David" w:hint="cs"/>
          <w:sz w:val="28"/>
          <w:szCs w:val="28"/>
          <w:u w:val="single"/>
          <w:rtl/>
          <w:lang w:bidi="he-IL"/>
        </w:rPr>
        <w:t xml:space="preserve"> </w:t>
      </w:r>
      <w:r w:rsidRPr="00D518CA">
        <w:rPr>
          <w:rFonts w:cs="David" w:hint="cs"/>
          <w:sz w:val="28"/>
          <w:szCs w:val="28"/>
          <w:u w:val="single"/>
          <w:rtl/>
          <w:lang w:bidi="he-IL"/>
        </w:rPr>
        <w:t>בשאר כל דבר שוה לטו</w:t>
      </w:r>
      <w:r w:rsidR="003100D6">
        <w:rPr>
          <w:rFonts w:cs="David" w:hint="cs"/>
          <w:sz w:val="28"/>
          <w:szCs w:val="28"/>
          <w:u w:val="single"/>
          <w:rtl/>
          <w:lang w:bidi="he-IL"/>
        </w:rPr>
        <w:t>מ</w:t>
      </w:r>
      <w:r w:rsidRPr="00D518CA">
        <w:rPr>
          <w:rFonts w:cs="David" w:hint="cs"/>
          <w:sz w:val="28"/>
          <w:szCs w:val="28"/>
          <w:u w:val="single"/>
          <w:rtl/>
          <w:lang w:bidi="he-IL"/>
        </w:rPr>
        <w:t>אה ולטהרה</w:t>
      </w:r>
      <w:r w:rsidRPr="00D518CA">
        <w:rPr>
          <w:rFonts w:cs="David" w:hint="cs"/>
          <w:sz w:val="28"/>
          <w:szCs w:val="28"/>
          <w:rtl/>
          <w:lang w:bidi="he-IL"/>
        </w:rPr>
        <w:t>"</w:t>
      </w:r>
      <w:r>
        <w:rPr>
          <w:rFonts w:cs="David" w:hint="cs"/>
          <w:sz w:val="28"/>
          <w:szCs w:val="28"/>
          <w:rtl/>
          <w:lang w:bidi="he-IL"/>
        </w:rPr>
        <w:t xml:space="preserve">. והאריכות בהמשך הגר"א הוא משום שיש עוד קושי בזה והוא דגם לגבי טומאה וטהרה עצמו לכאו' לא קי"ל שהולכין בתר מעמד, וכדעת החכמים בשבת [טו:]. </w:t>
      </w:r>
      <w:r w:rsidR="004E552D">
        <w:rPr>
          <w:rFonts w:cs="David" w:hint="cs"/>
          <w:sz w:val="28"/>
          <w:szCs w:val="28"/>
          <w:rtl/>
          <w:lang w:bidi="he-IL"/>
        </w:rPr>
        <w:t>וכן הקשה בזה על הפר"ח בשו"</w:t>
      </w:r>
      <w:r w:rsidR="003100D6">
        <w:rPr>
          <w:rFonts w:cs="David" w:hint="cs"/>
          <w:sz w:val="28"/>
          <w:szCs w:val="28"/>
          <w:rtl/>
          <w:lang w:bidi="he-IL"/>
        </w:rPr>
        <w:t>ת בית יהודה [יו"ד סי' נו'] וכן ה</w:t>
      </w:r>
      <w:r w:rsidR="004E552D">
        <w:rPr>
          <w:rFonts w:cs="David" w:hint="cs"/>
          <w:sz w:val="28"/>
          <w:szCs w:val="28"/>
          <w:rtl/>
          <w:lang w:bidi="he-IL"/>
        </w:rPr>
        <w:t xml:space="preserve">עיר בזה בפר"ת שם. וביאר הגאון ע"פ תוס' בשבת שם שלעולם יש ב' מיני </w:t>
      </w:r>
      <w:r w:rsidR="003100D6">
        <w:rPr>
          <w:rFonts w:cs="David" w:hint="cs"/>
          <w:sz w:val="28"/>
          <w:szCs w:val="28"/>
          <w:rtl/>
          <w:lang w:bidi="he-IL"/>
        </w:rPr>
        <w:t>מעמד. כשהמעמד הוא להכלי שבלא"ה ה</w:t>
      </w:r>
      <w:r w:rsidR="004E552D">
        <w:rPr>
          <w:rFonts w:cs="David" w:hint="cs"/>
          <w:sz w:val="28"/>
          <w:szCs w:val="28"/>
          <w:rtl/>
          <w:lang w:bidi="he-IL"/>
        </w:rPr>
        <w:t>כלי יתפרק, בזה הולכין אחר המעמד [וביאר הרמ"א "וז"ש אבל כלי המתוקן ביתדות..]. ויש עוד מעמד שהוא רק למה שבתוך הכלי ובזה יש מח' ר"מ וחכמים. וביאר שגם בזה המרדכי פסק כר' מאיר,</w:t>
      </w:r>
      <w:r w:rsidR="004E552D">
        <w:rPr>
          <w:rStyle w:val="FootnoteReference"/>
          <w:rFonts w:cs="David"/>
          <w:sz w:val="28"/>
          <w:szCs w:val="28"/>
          <w:rtl/>
          <w:lang w:bidi="he-IL"/>
        </w:rPr>
        <w:footnoteReference w:id="2"/>
      </w:r>
      <w:r w:rsidR="00FA5984">
        <w:rPr>
          <w:rFonts w:cs="David" w:hint="cs"/>
          <w:sz w:val="28"/>
          <w:szCs w:val="28"/>
          <w:rtl/>
          <w:lang w:bidi="he-IL"/>
        </w:rPr>
        <w:t xml:space="preserve"> </w:t>
      </w:r>
      <w:r w:rsidR="004E552D">
        <w:rPr>
          <w:rFonts w:cs="David" w:hint="cs"/>
          <w:sz w:val="28"/>
          <w:szCs w:val="28"/>
          <w:rtl/>
          <w:lang w:bidi="he-IL"/>
        </w:rPr>
        <w:t>שהולכין אחר המעמד, ובזה</w:t>
      </w:r>
      <w:r w:rsidR="00AE0669">
        <w:rPr>
          <w:rFonts w:cs="David" w:hint="cs"/>
          <w:sz w:val="28"/>
          <w:szCs w:val="28"/>
          <w:rtl/>
          <w:lang w:bidi="he-IL"/>
        </w:rPr>
        <w:t xml:space="preserve"> נוטה הגאון לחלוק שלעולם בזה הל'</w:t>
      </w:r>
      <w:r w:rsidR="004E552D">
        <w:rPr>
          <w:rFonts w:cs="David" w:hint="cs"/>
          <w:sz w:val="28"/>
          <w:szCs w:val="28"/>
          <w:rtl/>
          <w:lang w:bidi="he-IL"/>
        </w:rPr>
        <w:t xml:space="preserve"> כחכמים ואין הולכין אחר מעמד כזו לא לענין טהרות ולא לענין טבילה. </w:t>
      </w:r>
      <w:r w:rsidR="00980E11">
        <w:rPr>
          <w:rFonts w:cs="David" w:hint="cs"/>
          <w:sz w:val="28"/>
          <w:szCs w:val="28"/>
          <w:rtl/>
          <w:lang w:bidi="he-IL"/>
        </w:rPr>
        <w:t>ולכן בכלי עם מעמד בפנים כזה, וכגון נקב שנסתם עם מתכת יש לטוב</w:t>
      </w:r>
      <w:r w:rsidR="00AE0669">
        <w:rPr>
          <w:rFonts w:cs="David" w:hint="cs"/>
          <w:sz w:val="28"/>
          <w:szCs w:val="28"/>
          <w:rtl/>
          <w:lang w:bidi="he-IL"/>
        </w:rPr>
        <w:t>לו בלא ברכה דאולי בזה אין הולכי</w:t>
      </w:r>
      <w:r w:rsidR="00980E11">
        <w:rPr>
          <w:rFonts w:cs="David" w:hint="cs"/>
          <w:sz w:val="28"/>
          <w:szCs w:val="28"/>
          <w:rtl/>
          <w:lang w:bidi="he-IL"/>
        </w:rPr>
        <w:t>ם אחר המעמד בשום מקום.</w:t>
      </w:r>
      <w:r w:rsidR="00FA5984">
        <w:rPr>
          <w:rFonts w:cs="David" w:hint="cs"/>
          <w:sz w:val="28"/>
          <w:szCs w:val="28"/>
          <w:rtl/>
          <w:lang w:bidi="he-IL"/>
        </w:rPr>
        <w:t xml:space="preserve">                                                                                            </w:t>
      </w:r>
      <w:r w:rsidR="00FC5C2F">
        <w:rPr>
          <w:rFonts w:cs="David" w:hint="cs"/>
          <w:sz w:val="28"/>
          <w:szCs w:val="28"/>
          <w:rtl/>
          <w:lang w:bidi="he-IL"/>
        </w:rPr>
        <w:t xml:space="preserve">  </w:t>
      </w:r>
    </w:p>
    <w:p w:rsidR="003B3FF6" w:rsidRDefault="00AE0669" w:rsidP="00AE0669">
      <w:pPr>
        <w:bidi/>
        <w:rPr>
          <w:rFonts w:cs="David"/>
          <w:sz w:val="28"/>
          <w:szCs w:val="28"/>
          <w:rtl/>
          <w:lang w:bidi="he-IL"/>
        </w:rPr>
      </w:pPr>
      <w:r>
        <w:rPr>
          <w:rFonts w:cs="David" w:hint="cs"/>
          <w:sz w:val="28"/>
          <w:szCs w:val="28"/>
          <w:rtl/>
          <w:lang w:bidi="he-IL"/>
        </w:rPr>
        <w:t xml:space="preserve">י) הרי לן דברים מפורשים מהראשונים, הרמ"א והגאון בביאורו שלעולם גדרי כלי לענין טבילה נלמדים מטומאה וטהרה לכל דבר [וכלשון הגר"א]. ולגבי קושית הגדולי טהרה מהא שכיסוי כלים אינם מקבלים טומאה, באמת כבר תי' זה הגאון בלשונו הזהב. דעי' בגאון בס"ק טו' על הלכה זו שכיסוי קדירות צריכין טבילה. שכתב שהטעם </w:t>
      </w:r>
      <w:r w:rsidR="003100D6">
        <w:rPr>
          <w:rFonts w:cs="David" w:hint="cs"/>
          <w:sz w:val="28"/>
          <w:szCs w:val="28"/>
          <w:rtl/>
          <w:lang w:bidi="he-IL"/>
        </w:rPr>
        <w:t>הוא משום שהזיעה עולה להכיסוי והו</w:t>
      </w:r>
      <w:r>
        <w:rPr>
          <w:rFonts w:cs="David" w:hint="cs"/>
          <w:sz w:val="28"/>
          <w:szCs w:val="28"/>
          <w:rtl/>
          <w:lang w:bidi="he-IL"/>
        </w:rPr>
        <w:t>ה ליה כקדירה עצמה. ומוסיף שם הגאון "</w:t>
      </w:r>
      <w:r w:rsidRPr="00AE0669">
        <w:rPr>
          <w:rFonts w:cs="David" w:hint="cs"/>
          <w:sz w:val="28"/>
          <w:szCs w:val="28"/>
          <w:u w:val="single"/>
          <w:rtl/>
          <w:lang w:bidi="he-IL"/>
        </w:rPr>
        <w:t>וכן לענין טומאה</w:t>
      </w:r>
      <w:r>
        <w:rPr>
          <w:rFonts w:cs="David" w:hint="cs"/>
          <w:sz w:val="28"/>
          <w:szCs w:val="28"/>
          <w:rtl/>
          <w:lang w:bidi="he-IL"/>
        </w:rPr>
        <w:t xml:space="preserve"> כמ</w:t>
      </w:r>
      <w:r w:rsidR="00FE28D7">
        <w:rPr>
          <w:rFonts w:cs="David" w:hint="cs"/>
          <w:sz w:val="28"/>
          <w:szCs w:val="28"/>
          <w:rtl/>
          <w:lang w:bidi="he-IL"/>
        </w:rPr>
        <w:t>"</w:t>
      </w:r>
      <w:r>
        <w:rPr>
          <w:rFonts w:cs="David" w:hint="cs"/>
          <w:sz w:val="28"/>
          <w:szCs w:val="28"/>
          <w:rtl/>
          <w:lang w:bidi="he-IL"/>
        </w:rPr>
        <w:t>ש בספ"ה שמכשירין</w:t>
      </w:r>
      <w:r w:rsidR="00FE28D7">
        <w:rPr>
          <w:rFonts w:cs="David" w:hint="cs"/>
          <w:sz w:val="28"/>
          <w:szCs w:val="28"/>
          <w:rtl/>
          <w:lang w:bidi="he-IL"/>
        </w:rPr>
        <w:t>ובפ"ב שם". וכוונתו ששאני כיסוי קדירה מכל כיסוי כלים, שכיון שהזיעה עולה והזיעה הוי כמשקה עצמו, לכן הכיסוי קדי</w:t>
      </w:r>
      <w:r w:rsidR="00A46B3E">
        <w:rPr>
          <w:rFonts w:cs="David" w:hint="cs"/>
          <w:sz w:val="28"/>
          <w:szCs w:val="28"/>
          <w:rtl/>
          <w:lang w:bidi="he-IL"/>
        </w:rPr>
        <w:t>רה יש לו דין קדירה ולכן גם מקבל</w:t>
      </w:r>
      <w:r w:rsidR="00FE28D7">
        <w:rPr>
          <w:rFonts w:cs="David" w:hint="cs"/>
          <w:sz w:val="28"/>
          <w:szCs w:val="28"/>
          <w:rtl/>
          <w:lang w:bidi="he-IL"/>
        </w:rPr>
        <w:t xml:space="preserve"> טומאה, ודו"ק.</w:t>
      </w:r>
      <w:r>
        <w:rPr>
          <w:rFonts w:cs="David" w:hint="cs"/>
          <w:sz w:val="28"/>
          <w:szCs w:val="28"/>
          <w:rtl/>
          <w:lang w:bidi="he-IL"/>
        </w:rPr>
        <w:t xml:space="preserve"> </w:t>
      </w:r>
    </w:p>
    <w:p w:rsidR="001E7827" w:rsidRDefault="003B3FF6" w:rsidP="003B3FF6">
      <w:pPr>
        <w:bidi/>
        <w:rPr>
          <w:rFonts w:cs="David"/>
          <w:sz w:val="28"/>
          <w:szCs w:val="28"/>
          <w:rtl/>
          <w:lang w:bidi="he-IL"/>
        </w:rPr>
      </w:pPr>
      <w:r>
        <w:rPr>
          <w:rFonts w:cs="David" w:hint="cs"/>
          <w:sz w:val="28"/>
          <w:szCs w:val="28"/>
          <w:rtl/>
          <w:lang w:bidi="he-IL"/>
        </w:rPr>
        <w:lastRenderedPageBreak/>
        <w:t xml:space="preserve">יא) ועכשיו שזכינו לדין שיש לדמות טבילה וטומאה, יש לדון כמה נ"מ בכלים שונים וכמו שיתבאר. </w:t>
      </w:r>
      <w:r w:rsidR="001E7827">
        <w:rPr>
          <w:rFonts w:cs="David" w:hint="cs"/>
          <w:sz w:val="28"/>
          <w:szCs w:val="28"/>
          <w:rtl/>
          <w:lang w:bidi="he-IL"/>
        </w:rPr>
        <w:t>כבר הזכרנו שכלי המחו</w:t>
      </w:r>
      <w:r w:rsidR="003100D6">
        <w:rPr>
          <w:rFonts w:cs="David" w:hint="cs"/>
          <w:sz w:val="28"/>
          <w:szCs w:val="28"/>
          <w:rtl/>
          <w:lang w:bidi="he-IL"/>
        </w:rPr>
        <w:t>בר לקרקע אינו מקבל טומאה, וא"כ כלי כ</w:t>
      </w:r>
      <w:r w:rsidR="001E7827">
        <w:rPr>
          <w:rFonts w:cs="David" w:hint="cs"/>
          <w:sz w:val="28"/>
          <w:szCs w:val="28"/>
          <w:rtl/>
          <w:lang w:bidi="he-IL"/>
        </w:rPr>
        <w:t xml:space="preserve">זה אינו חייב בטבילה וכדעת השב יעקב </w:t>
      </w:r>
      <w:r w:rsidR="003100D6">
        <w:rPr>
          <w:rFonts w:cs="David" w:hint="cs"/>
          <w:sz w:val="28"/>
          <w:szCs w:val="28"/>
          <w:rtl/>
          <w:lang w:bidi="he-IL"/>
        </w:rPr>
        <w:t>ה</w:t>
      </w:r>
      <w:r w:rsidR="001E7827">
        <w:rPr>
          <w:rFonts w:cs="David" w:hint="cs"/>
          <w:sz w:val="28"/>
          <w:szCs w:val="28"/>
          <w:rtl/>
          <w:lang w:bidi="he-IL"/>
        </w:rPr>
        <w:t>מובא לעיל. אלא, דעי' בחכמת אדם כלל עג' אות יג' וכן בערוה"ש ס"ק לט' שזה רק בכלי הנעשית ע"מ לקבעו בקרקע אבל תלוש ולבסוף חברו דינו כתלוש. ויותר מזה עי' בשו"ת נוב"י תנינא סי' קט' שצריך ג"כ שהקרקע מועיל בתשמיש הכלי ובלא"ה אין לו דין מחובר לגבי טומאה. ובאמת בדין זה של מחובר לקרקע גם לאלו שס"ל שאין ללמוד מטומאה לטבילת כלים, מ"מ פוטרים כלים כאלו מטבילה מטעם אחר. עי' בערוה"ש וכן בגדולי טהרה הנ"ל שמ"מ כל שמחובר אינו נחשב ככלי סעודה שהם דברים המטלטלין ממקום למקום ולכן פטורים מטבילה מטעם זה.</w:t>
      </w:r>
    </w:p>
    <w:p w:rsidR="00AE0669" w:rsidRDefault="001E7827" w:rsidP="001E7827">
      <w:pPr>
        <w:bidi/>
        <w:rPr>
          <w:rFonts w:cs="David"/>
          <w:sz w:val="28"/>
          <w:szCs w:val="28"/>
          <w:rtl/>
          <w:lang w:bidi="he-IL"/>
        </w:rPr>
      </w:pPr>
      <w:r>
        <w:rPr>
          <w:rFonts w:cs="David" w:hint="cs"/>
          <w:sz w:val="28"/>
          <w:szCs w:val="28"/>
          <w:rtl/>
          <w:lang w:bidi="he-IL"/>
        </w:rPr>
        <w:t>יב) וידוע מה שרוצה לחדש בשו"ת חלקת יעקב [חלק א' סי' קכ"ו] שכל כלים חשמליים שצריכים חיבור לשקע כדי להפעילם דינם כמחובר לקרקע ולכן פטורים מטבילה.</w:t>
      </w:r>
      <w:r w:rsidR="002B578A">
        <w:rPr>
          <w:rStyle w:val="FootnoteReference"/>
          <w:rFonts w:cs="David"/>
          <w:sz w:val="28"/>
          <w:szCs w:val="28"/>
          <w:rtl/>
          <w:lang w:bidi="he-IL"/>
        </w:rPr>
        <w:footnoteReference w:id="3"/>
      </w:r>
      <w:r>
        <w:rPr>
          <w:rFonts w:cs="David" w:hint="cs"/>
          <w:sz w:val="28"/>
          <w:szCs w:val="28"/>
          <w:rtl/>
          <w:lang w:bidi="he-IL"/>
        </w:rPr>
        <w:t xml:space="preserve"> ודבריו לא נתקבלו כלל, עי' בשו"ת שבט הלוי [ח"ב סי' נז' אות ג'] שדוחה צד זו בשתי ידים. והטעם פשוט שחיבור רפוי כזה שהדרך להוציאו ולהחזירו </w:t>
      </w:r>
      <w:r w:rsidR="003100D6">
        <w:rPr>
          <w:rFonts w:cs="David" w:hint="cs"/>
          <w:sz w:val="28"/>
          <w:szCs w:val="28"/>
          <w:rtl/>
          <w:lang w:bidi="he-IL"/>
        </w:rPr>
        <w:t>אינו נחשב כמחובר לקרקע</w:t>
      </w:r>
      <w:r>
        <w:rPr>
          <w:rFonts w:cs="David" w:hint="cs"/>
          <w:sz w:val="28"/>
          <w:szCs w:val="28"/>
          <w:rtl/>
          <w:lang w:bidi="he-IL"/>
        </w:rPr>
        <w:t xml:space="preserve"> ועוד נראה שהחוט היוצא אינו חלק מעצם הכלי ואף אם הוא מחובר עדיין אין להחשיב הכלי עצמו כמחובר. </w:t>
      </w:r>
      <w:r w:rsidR="0043165C">
        <w:rPr>
          <w:rFonts w:cs="David" w:hint="cs"/>
          <w:sz w:val="28"/>
          <w:szCs w:val="28"/>
          <w:rtl/>
          <w:lang w:bidi="he-IL"/>
        </w:rPr>
        <w:t xml:space="preserve">וע' לקמן מש"כ לגבי טבילת כלים חשמליים. </w:t>
      </w:r>
      <w:r w:rsidR="00AE0669">
        <w:rPr>
          <w:rFonts w:cs="David" w:hint="cs"/>
          <w:sz w:val="28"/>
          <w:szCs w:val="28"/>
          <w:rtl/>
          <w:lang w:bidi="he-IL"/>
        </w:rPr>
        <w:t xml:space="preserve"> </w:t>
      </w:r>
    </w:p>
    <w:p w:rsidR="00F257EE" w:rsidRDefault="00081CA9" w:rsidP="00081CA9">
      <w:pPr>
        <w:bidi/>
        <w:rPr>
          <w:rFonts w:cs="David"/>
          <w:sz w:val="28"/>
          <w:szCs w:val="28"/>
          <w:rtl/>
          <w:lang w:bidi="he-IL"/>
        </w:rPr>
      </w:pPr>
      <w:r>
        <w:rPr>
          <w:rFonts w:cs="David" w:hint="cs"/>
          <w:sz w:val="28"/>
          <w:szCs w:val="28"/>
          <w:rtl/>
          <w:lang w:bidi="he-IL"/>
        </w:rPr>
        <w:t>יג) עוד מקום שיש לדון דמיון לתורת כלי בטומאה, הוא בכלים חד פעמיים, שהם כלים גרועים שאינם ראויים לשימוש קבוע.</w:t>
      </w:r>
      <w:r w:rsidR="00250B8A">
        <w:rPr>
          <w:rFonts w:cs="David" w:hint="cs"/>
          <w:sz w:val="28"/>
          <w:szCs w:val="28"/>
          <w:rtl/>
          <w:lang w:bidi="he-IL"/>
        </w:rPr>
        <w:t xml:space="preserve"> ובשו"ת מנח"י [ח"ב סי' לב' אות א'] מביא מהרמב"ם פרק ה' מהל' כלים דין "חותל של הוצין" שהוא כלי גרוע ואם אינו ראוי להשתמש יותר מפעם א' או שהוא חושב לזרקואחר פעם, אין לו טומאת כלים. ולפי"ז יש היתר כל שמשתמש בו רק פעם א', אבל כל שיחדו לשימוש יותר מזה חייב בטבילה. וע"ע באג"מ שמביא מהרמב"ם פ"ב מהל' כלים שקבלת טומאה הוא דווקא "שיעשה דבר של קיימא שאפשר שיעמוד" אבל כלים גרועים כגון מלפת ואתרוג "הרי אלו טהורים שא"א שיעמדו </w:t>
      </w:r>
      <w:r w:rsidR="00314667">
        <w:rPr>
          <w:rFonts w:cs="David" w:hint="cs"/>
          <w:sz w:val="28"/>
          <w:szCs w:val="28"/>
          <w:rtl/>
          <w:lang w:bidi="he-IL"/>
        </w:rPr>
        <w:t>אלא זמן מועט". ופי"ז מיקל שם גם בשימוש כמה פעמים כל שאין בו שימוש של קבע. והנה, גם בזה עי"ש במנח"י שגם אם אין מדמין לטהרה, יש לומר שכלים אלו פטורים מטבילה, שגם בזה שאינםראוי לתשמיש קבוע, אין להם שם כלי סעודה, ואינו דומיא דכלי מדין שהוי כלים גמורים לתשמיש קבוע.</w:t>
      </w:r>
    </w:p>
    <w:p w:rsidR="001F1660" w:rsidRDefault="00F257EE" w:rsidP="00F257EE">
      <w:pPr>
        <w:bidi/>
        <w:rPr>
          <w:rFonts w:cs="David"/>
          <w:sz w:val="28"/>
          <w:szCs w:val="28"/>
          <w:rtl/>
          <w:lang w:bidi="he-IL"/>
        </w:rPr>
      </w:pPr>
      <w:r>
        <w:rPr>
          <w:rFonts w:cs="David" w:hint="cs"/>
          <w:sz w:val="28"/>
          <w:szCs w:val="28"/>
          <w:rtl/>
          <w:lang w:bidi="he-IL"/>
        </w:rPr>
        <w:t>יד) עוד דמיון מצינו בפוסקים לדיני טומאה, הוא בשאלה של כלים ה</w:t>
      </w:r>
      <w:r w:rsidR="005F1065">
        <w:rPr>
          <w:rFonts w:cs="David" w:hint="cs"/>
          <w:sz w:val="28"/>
          <w:szCs w:val="28"/>
          <w:rtl/>
          <w:lang w:bidi="he-IL"/>
        </w:rPr>
        <w:t>מ</w:t>
      </w:r>
      <w:r>
        <w:rPr>
          <w:rFonts w:cs="David" w:hint="cs"/>
          <w:sz w:val="28"/>
          <w:szCs w:val="28"/>
          <w:rtl/>
          <w:lang w:bidi="he-IL"/>
        </w:rPr>
        <w:t>ורכבים מכמה חלקים המתפרקים, האם צריך לטובל</w:t>
      </w:r>
      <w:r w:rsidR="005F1065">
        <w:rPr>
          <w:rFonts w:cs="David" w:hint="cs"/>
          <w:sz w:val="28"/>
          <w:szCs w:val="28"/>
          <w:rtl/>
          <w:lang w:bidi="he-IL"/>
        </w:rPr>
        <w:t>ו דווקא כשהוא מחובר או אפשר לטוב</w:t>
      </w:r>
      <w:r>
        <w:rPr>
          <w:rFonts w:cs="David" w:hint="cs"/>
          <w:sz w:val="28"/>
          <w:szCs w:val="28"/>
          <w:rtl/>
          <w:lang w:bidi="he-IL"/>
        </w:rPr>
        <w:t>לו פרקים פרקים. ועי' בזה בשו"ת הר צבי [יו"ד סי' ק"ח] שכלי שאין דרכו להתפרק, כל שמפרקו בטל ממנו תורת כלי ואינו אלא שברי כלי ואינו חייב בכה"ג טבילה. ואם חוזר ומחברו צריך טבילה שוב.</w:t>
      </w:r>
      <w:r>
        <w:rPr>
          <w:rStyle w:val="FootnoteReference"/>
          <w:rFonts w:cs="David"/>
          <w:sz w:val="28"/>
          <w:szCs w:val="28"/>
          <w:rtl/>
          <w:lang w:bidi="he-IL"/>
        </w:rPr>
        <w:footnoteReference w:id="4"/>
      </w:r>
      <w:r>
        <w:rPr>
          <w:rFonts w:cs="David" w:hint="cs"/>
          <w:sz w:val="28"/>
          <w:szCs w:val="28"/>
          <w:rtl/>
          <w:lang w:bidi="he-IL"/>
        </w:rPr>
        <w:t xml:space="preserve"> אבל בכלי פרקים שהדרך הוא לפרקו ולחברו שוב, בזה אפשר לטבלו גם כשהוא מפורק. </w:t>
      </w:r>
      <w:r w:rsidR="005E43B0">
        <w:rPr>
          <w:rFonts w:cs="David" w:hint="cs"/>
          <w:sz w:val="28"/>
          <w:szCs w:val="28"/>
          <w:rtl/>
          <w:lang w:bidi="he-IL"/>
        </w:rPr>
        <w:t>ומוכיח כן מהא דמש' כלים פ' יח' מש' ט'</w:t>
      </w:r>
      <w:r w:rsidR="00C42847">
        <w:rPr>
          <w:rFonts w:cs="David" w:hint="cs"/>
          <w:sz w:val="28"/>
          <w:szCs w:val="28"/>
          <w:rtl/>
          <w:lang w:bidi="he-IL"/>
        </w:rPr>
        <w:t xml:space="preserve"> </w:t>
      </w:r>
      <w:r w:rsidR="005E43B0">
        <w:rPr>
          <w:rFonts w:cs="David" w:hint="cs"/>
          <w:sz w:val="28"/>
          <w:szCs w:val="28"/>
          <w:rtl/>
          <w:lang w:bidi="he-IL"/>
        </w:rPr>
        <w:t>והובא בגמ' סוכה טז., שנחלקו ר"א וחכמים. ולדעת חכמים</w:t>
      </w:r>
      <w:r>
        <w:rPr>
          <w:rFonts w:cs="David" w:hint="cs"/>
          <w:sz w:val="28"/>
          <w:szCs w:val="28"/>
          <w:rtl/>
          <w:lang w:bidi="he-IL"/>
        </w:rPr>
        <w:t xml:space="preserve"> </w:t>
      </w:r>
      <w:r w:rsidR="005E43B0">
        <w:rPr>
          <w:rFonts w:cs="David" w:hint="cs"/>
          <w:sz w:val="28"/>
          <w:szCs w:val="28"/>
          <w:rtl/>
          <w:lang w:bidi="he-IL"/>
        </w:rPr>
        <w:t>שם "מטה מיטמאת איברים ומיטהרת איברים". שבכה"ג אינו נחשב שבר כלי אלא חלקי הכלי ושייך לטובלם לחלקיהם. ועי' ג</w:t>
      </w:r>
      <w:r w:rsidR="00BB4B59">
        <w:rPr>
          <w:rFonts w:cs="David" w:hint="cs"/>
          <w:sz w:val="28"/>
          <w:szCs w:val="28"/>
          <w:rtl/>
          <w:lang w:bidi="he-IL"/>
        </w:rPr>
        <w:t>ם בשו"ת מנח"י [ג'-עז'] שמביא מ</w:t>
      </w:r>
      <w:r w:rsidR="005E43B0">
        <w:rPr>
          <w:rFonts w:cs="David" w:hint="cs"/>
          <w:sz w:val="28"/>
          <w:szCs w:val="28"/>
          <w:rtl/>
          <w:lang w:bidi="he-IL"/>
        </w:rPr>
        <w:t>המרמב"ם הל' כלים פ' כו' [הל' יד'], ומדייק שם שלעולם לכתחילה יש לטובלו כשהוא מחובר בשלימותו.</w:t>
      </w:r>
      <w:r>
        <w:rPr>
          <w:rFonts w:cs="David" w:hint="cs"/>
          <w:sz w:val="28"/>
          <w:szCs w:val="28"/>
          <w:rtl/>
          <w:lang w:bidi="he-IL"/>
        </w:rPr>
        <w:t xml:space="preserve"> </w:t>
      </w:r>
    </w:p>
    <w:p w:rsidR="001F1660" w:rsidRDefault="001F1660" w:rsidP="00E63950">
      <w:pPr>
        <w:bidi/>
        <w:rPr>
          <w:rFonts w:cs="David"/>
          <w:sz w:val="28"/>
          <w:szCs w:val="28"/>
          <w:rtl/>
          <w:lang w:bidi="he-IL"/>
        </w:rPr>
      </w:pPr>
      <w:r>
        <w:rPr>
          <w:rFonts w:cs="David" w:hint="cs"/>
          <w:sz w:val="28"/>
          <w:szCs w:val="28"/>
          <w:rtl/>
          <w:lang w:bidi="he-IL"/>
        </w:rPr>
        <w:lastRenderedPageBreak/>
        <w:t>טו) והנה, בהרבה כלים המתפרקים המצויים בזמנינו, אחרי שמתפרק הכלי יש חלקים שלמים שהם מחומר שאינו חייב טבילה</w:t>
      </w:r>
      <w:r w:rsidR="001C7F6D">
        <w:rPr>
          <w:rFonts w:cs="David" w:hint="cs"/>
          <w:sz w:val="28"/>
          <w:szCs w:val="28"/>
          <w:rtl/>
          <w:lang w:bidi="he-IL"/>
        </w:rPr>
        <w:t>,</w:t>
      </w:r>
      <w:r>
        <w:rPr>
          <w:rFonts w:cs="David" w:hint="cs"/>
          <w:sz w:val="28"/>
          <w:szCs w:val="28"/>
          <w:rtl/>
          <w:lang w:bidi="he-IL"/>
        </w:rPr>
        <w:t xml:space="preserve"> וכגון פלסטיק. ובס' טבילת כלים [עמ' קפ"ח הע' ז'] מורה בזה שאינו חייב לטבול אלא החלקים שיש בהם חומר המחייב טבילה, </w:t>
      </w:r>
      <w:r w:rsidR="0009791D">
        <w:rPr>
          <w:rFonts w:cs="David" w:hint="cs"/>
          <w:sz w:val="28"/>
          <w:szCs w:val="28"/>
          <w:rtl/>
          <w:lang w:bidi="he-IL"/>
        </w:rPr>
        <w:t>וכתב עליו שהוא פשוט. והכי נהוג באמת, ונראה הביאור בזה. שכל שיש כלי מורכב ויש בו מתכת שאינו בטל משום חשיבותו, מתכת זה הוא מחייב כלי זה טבילה, שסוף סוף יש כאן כלי סעודה מתכתי. וכל זמן שהכלי מורכת ומחובר א"א להטבילו לחצאין שכלי זה יש עליו שם כלי סעודה ואין טבילה למחצה. אבל כל שמפרקו באופן שאינו שבר כלי אלא חלקי</w:t>
      </w:r>
      <w:r w:rsidR="00BC1C9D">
        <w:rPr>
          <w:rFonts w:cs="David" w:hint="cs"/>
          <w:sz w:val="28"/>
          <w:szCs w:val="28"/>
          <w:rtl/>
          <w:lang w:bidi="he-IL"/>
        </w:rPr>
        <w:t xml:space="preserve"> הכלי, אז אפשר לטבול המחייב לבדו, וכשחוזר ומחברו שוב אין כאן המחייב על כל הכלי ויצא ידי טבילה.</w:t>
      </w:r>
    </w:p>
    <w:p w:rsidR="00BC1C9D" w:rsidRDefault="00BC1C9D" w:rsidP="00BC1C9D">
      <w:pPr>
        <w:bidi/>
        <w:rPr>
          <w:rFonts w:cs="David"/>
          <w:sz w:val="28"/>
          <w:szCs w:val="28"/>
          <w:rtl/>
          <w:lang w:bidi="he-IL"/>
        </w:rPr>
      </w:pPr>
      <w:r>
        <w:rPr>
          <w:rFonts w:cs="David" w:hint="cs"/>
          <w:sz w:val="28"/>
          <w:szCs w:val="28"/>
          <w:rtl/>
          <w:lang w:bidi="he-IL"/>
        </w:rPr>
        <w:t xml:space="preserve">טז) </w:t>
      </w:r>
      <w:r w:rsidR="00F235CC">
        <w:rPr>
          <w:rFonts w:cs="David" w:hint="cs"/>
          <w:sz w:val="28"/>
          <w:szCs w:val="28"/>
          <w:rtl/>
          <w:lang w:bidi="he-IL"/>
        </w:rPr>
        <w:t xml:space="preserve">ובאמת, הך מילתא שמתכות בתוך הכלי מחייב כל הכלי אינו דבר פשוט. דעי' בדרכי תשובה [ס"ק נז'] שמביא מהקהל יהודה שכלי שיש בו מתכת וגם חלק עץ חשוב שאינו בטל להמתכת, שהוא מסופק האם צריך לטבול כל הכלי או רק חלק המתכת שבו. </w:t>
      </w:r>
      <w:r w:rsidR="002F2633">
        <w:rPr>
          <w:rFonts w:cs="David" w:hint="cs"/>
          <w:sz w:val="28"/>
          <w:szCs w:val="28"/>
          <w:rtl/>
          <w:lang w:bidi="he-IL"/>
        </w:rPr>
        <w:t xml:space="preserve">ובפשוטו מסתפק גם כשהוא כלי אחד שיש מקום לומר שרק חלק המחייב טבילה צריך לטבול ובזה הוכשר כל הכלי. </w:t>
      </w:r>
      <w:r w:rsidR="00536DE1">
        <w:rPr>
          <w:rFonts w:cs="David" w:hint="cs"/>
          <w:sz w:val="28"/>
          <w:szCs w:val="28"/>
          <w:rtl/>
          <w:lang w:bidi="he-IL"/>
        </w:rPr>
        <w:t xml:space="preserve">ובזה סוגיא דעלמא דלא כוותי' ולעולם כל שהוא כלי א' שיש בו מחייב, צריך לטבול כולו, שאין טבילה לחצאין. </w:t>
      </w:r>
      <w:r w:rsidR="00F80399">
        <w:rPr>
          <w:rFonts w:cs="David" w:hint="cs"/>
          <w:sz w:val="28"/>
          <w:szCs w:val="28"/>
          <w:rtl/>
          <w:lang w:bidi="he-IL"/>
        </w:rPr>
        <w:t>ומ"</w:t>
      </w:r>
      <w:r w:rsidR="001C7F6D">
        <w:rPr>
          <w:rFonts w:cs="David" w:hint="cs"/>
          <w:sz w:val="28"/>
          <w:szCs w:val="28"/>
          <w:rtl/>
          <w:lang w:bidi="he-IL"/>
        </w:rPr>
        <w:t>מ בכלי המתפרק יש לקיים דבריו ולט</w:t>
      </w:r>
      <w:r w:rsidR="00F80399">
        <w:rPr>
          <w:rFonts w:cs="David" w:hint="cs"/>
          <w:sz w:val="28"/>
          <w:szCs w:val="28"/>
          <w:rtl/>
          <w:lang w:bidi="he-IL"/>
        </w:rPr>
        <w:t>בול רק חלק המחייב, כנ"ל.</w:t>
      </w:r>
      <w:r w:rsidR="00F235CC">
        <w:rPr>
          <w:rFonts w:cs="David" w:hint="cs"/>
          <w:sz w:val="28"/>
          <w:szCs w:val="28"/>
          <w:rtl/>
          <w:lang w:bidi="he-IL"/>
        </w:rPr>
        <w:t xml:space="preserve"> </w:t>
      </w:r>
    </w:p>
    <w:p w:rsidR="00F80399" w:rsidRDefault="00F80399" w:rsidP="009F35F9">
      <w:pPr>
        <w:bidi/>
        <w:rPr>
          <w:rFonts w:cs="David"/>
          <w:sz w:val="28"/>
          <w:szCs w:val="28"/>
          <w:rtl/>
          <w:lang w:bidi="he-IL"/>
        </w:rPr>
      </w:pPr>
      <w:r>
        <w:rPr>
          <w:rFonts w:cs="David" w:hint="cs"/>
          <w:sz w:val="28"/>
          <w:szCs w:val="28"/>
          <w:rtl/>
          <w:lang w:bidi="he-IL"/>
        </w:rPr>
        <w:t>יז) ובספר טבילת כלים שם מציין מקור לזה שאינו צריך טבילה אלא חלק מחומר החייב טבילה, מהא דהש"ך ס"ק יד'</w:t>
      </w:r>
      <w:r w:rsidR="009F35F9">
        <w:rPr>
          <w:rFonts w:cs="David" w:hint="cs"/>
          <w:sz w:val="28"/>
          <w:szCs w:val="28"/>
          <w:rtl/>
          <w:lang w:bidi="he-IL"/>
        </w:rPr>
        <w:t xml:space="preserve">. והש"ך שם קאי על דין רחיים של פלפלין שחלק העיקרי הוא של מתכת ולכן כל הכלי חייב טבילה. ומביא הש"ך מהד"מ ועוד, שחלק התחתון של הרחיים שמקבל השחוק אינו צריך טבילה, דהוא כולו עץ. </w:t>
      </w:r>
      <w:r w:rsidR="00050FE1">
        <w:rPr>
          <w:rFonts w:cs="David" w:hint="cs"/>
          <w:sz w:val="28"/>
          <w:szCs w:val="28"/>
          <w:rtl/>
          <w:lang w:bidi="he-IL"/>
        </w:rPr>
        <w:t xml:space="preserve">ומשמע שזה חלק מהרחיים ומשתמש יחד אתו, ומ"מ כשהוא לבד אינו צריך טבילה. ועדיין יש לחלק שחלק זה של התחתון הוא תמיד חלק נפרד ואינו מחובר להרחיים. אבל כלי א' שמתפרק אולי יש יותר לחייב טבילה. ומ"מ נראה שיש להקל, ואינו מסתבר לטבול חלק של עץ לתוך מקוה לבדו. </w:t>
      </w:r>
    </w:p>
    <w:p w:rsidR="00917EA6" w:rsidRDefault="00917EA6" w:rsidP="00917EA6">
      <w:pPr>
        <w:bidi/>
        <w:rPr>
          <w:rFonts w:cs="David"/>
          <w:sz w:val="28"/>
          <w:szCs w:val="28"/>
          <w:rtl/>
          <w:lang w:bidi="he-IL"/>
        </w:rPr>
      </w:pPr>
      <w:r>
        <w:rPr>
          <w:rFonts w:cs="David" w:hint="cs"/>
          <w:sz w:val="28"/>
          <w:szCs w:val="28"/>
          <w:rtl/>
          <w:lang w:bidi="he-IL"/>
        </w:rPr>
        <w:t>יח) ובאג"מ [יו"ד חלק א' סי' נז'-נח'] מחדש עוד שגם כלי א', אלא שיש בו ב' חלקים שעושים תשמישים שונים, וכגון כלי משמלי שיש הכלי, והמעשה אש של החשמל. בזה דינו כב' כלים נפרדים מחוברים יחד ואינו צריך להטביל אלא חלק הכלי סעודה. ואולי ילמוד פטור הש"ך גם כשהתחתון מחובר. או דילמא שאני התם שהוא אינו שימוש כ"כ נפרד שהרחיים ומשתמש איתו יחד.</w:t>
      </w:r>
    </w:p>
    <w:p w:rsidR="00917EA6" w:rsidRDefault="00917EA6" w:rsidP="00917EA6">
      <w:pPr>
        <w:bidi/>
        <w:rPr>
          <w:rFonts w:cs="David"/>
          <w:sz w:val="28"/>
          <w:szCs w:val="28"/>
          <w:lang w:bidi="he-IL"/>
        </w:rPr>
      </w:pPr>
      <w:r>
        <w:rPr>
          <w:rFonts w:cs="David" w:hint="cs"/>
          <w:sz w:val="28"/>
          <w:szCs w:val="28"/>
          <w:rtl/>
          <w:lang w:bidi="he-IL"/>
        </w:rPr>
        <w:t>יט) ובאמת דברי האג"מ הם דבר חי' והם על דרך דברי הד"ת הנ"ל, עי' לעיל מש"כ שם. ועי' שם בסי' נח' בסופו שמביא סמוכין מכמה מש' בכלים [ב'-ז', ו'-ג']. ועי' שם שמיירי בחלקי הכלי שאינם משתמשים יחד כלל, משא"כ בחשמל והכלי שלו שמשתמשים יחד להכין המאכל. וצ"ע למעשה, וכמדומה שהיתר זה לא כ"כ נתקבל. ובלא"ה אינו כ"כ שייך לרובא דכלים, שבד"כ החשמל נמצא בתוך חלק שהוא ג"כ העיקרי שימוש הכלי כגון בתוך היד או המעמיד של הכלי, ובזה גם להאג"מ צריך להטביל כולו.</w:t>
      </w:r>
      <w:r>
        <w:rPr>
          <w:rStyle w:val="FootnoteReference"/>
          <w:rFonts w:cs="David"/>
          <w:sz w:val="28"/>
          <w:szCs w:val="28"/>
          <w:rtl/>
          <w:lang w:bidi="he-IL"/>
        </w:rPr>
        <w:footnoteReference w:id="5"/>
      </w:r>
      <w:r>
        <w:rPr>
          <w:rFonts w:cs="David" w:hint="cs"/>
          <w:sz w:val="28"/>
          <w:szCs w:val="28"/>
          <w:rtl/>
          <w:lang w:bidi="he-IL"/>
        </w:rPr>
        <w:t xml:space="preserve">   </w:t>
      </w:r>
    </w:p>
    <w:p w:rsidR="001F1660" w:rsidRDefault="001F1660" w:rsidP="001F1660">
      <w:pPr>
        <w:bidi/>
        <w:rPr>
          <w:rFonts w:cs="David"/>
          <w:sz w:val="28"/>
          <w:szCs w:val="28"/>
          <w:rtl/>
          <w:lang w:bidi="he-IL"/>
        </w:rPr>
      </w:pPr>
    </w:p>
    <w:p w:rsidR="00081CA9" w:rsidRPr="005B26A1" w:rsidRDefault="001F1660" w:rsidP="001F1660">
      <w:pPr>
        <w:bidi/>
        <w:rPr>
          <w:rFonts w:cs="David"/>
          <w:sz w:val="28"/>
          <w:szCs w:val="28"/>
          <w:rtl/>
          <w:lang w:bidi="he-IL"/>
        </w:rPr>
      </w:pPr>
      <w:r>
        <w:rPr>
          <w:rFonts w:cs="David" w:hint="cs"/>
          <w:sz w:val="28"/>
          <w:szCs w:val="28"/>
          <w:rtl/>
          <w:lang w:bidi="he-IL"/>
        </w:rPr>
        <w:t xml:space="preserve"> </w:t>
      </w:r>
      <w:r w:rsidR="00250B8A">
        <w:rPr>
          <w:rFonts w:cs="David" w:hint="cs"/>
          <w:sz w:val="28"/>
          <w:szCs w:val="28"/>
          <w:rtl/>
          <w:lang w:bidi="he-IL"/>
        </w:rPr>
        <w:t xml:space="preserve"> </w:t>
      </w:r>
      <w:r w:rsidR="00081CA9">
        <w:rPr>
          <w:rFonts w:cs="David" w:hint="cs"/>
          <w:sz w:val="28"/>
          <w:szCs w:val="28"/>
          <w:rtl/>
          <w:lang w:bidi="he-IL"/>
        </w:rPr>
        <w:t xml:space="preserve"> </w:t>
      </w:r>
    </w:p>
    <w:sectPr w:rsidR="00081CA9" w:rsidRPr="005B26A1"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958" w:rsidRDefault="005B3958" w:rsidP="000A5D54">
      <w:pPr>
        <w:spacing w:after="0" w:line="240" w:lineRule="auto"/>
      </w:pPr>
      <w:r>
        <w:separator/>
      </w:r>
    </w:p>
  </w:endnote>
  <w:endnote w:type="continuationSeparator" w:id="0">
    <w:p w:rsidR="005B3958" w:rsidRDefault="005B3958" w:rsidP="000A5D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958" w:rsidRDefault="005B3958" w:rsidP="000A5D54">
      <w:pPr>
        <w:spacing w:after="0" w:line="240" w:lineRule="auto"/>
      </w:pPr>
      <w:r>
        <w:separator/>
      </w:r>
    </w:p>
  </w:footnote>
  <w:footnote w:type="continuationSeparator" w:id="0">
    <w:p w:rsidR="005B3958" w:rsidRDefault="005B3958" w:rsidP="000A5D54">
      <w:pPr>
        <w:spacing w:after="0" w:line="240" w:lineRule="auto"/>
      </w:pPr>
      <w:r>
        <w:continuationSeparator/>
      </w:r>
    </w:p>
  </w:footnote>
  <w:footnote w:id="1">
    <w:p w:rsidR="000A5D54" w:rsidRDefault="000A5D54" w:rsidP="000A5D54">
      <w:pPr>
        <w:pStyle w:val="FootnoteText"/>
        <w:bidi/>
        <w:rPr>
          <w:rtl/>
          <w:lang w:bidi="he-IL"/>
        </w:rPr>
      </w:pPr>
      <w:r>
        <w:rPr>
          <w:rStyle w:val="FootnoteReference"/>
        </w:rPr>
        <w:footnoteRef/>
      </w:r>
      <w:r>
        <w:t xml:space="preserve"> </w:t>
      </w:r>
      <w:r>
        <w:rPr>
          <w:rFonts w:hint="cs"/>
          <w:rtl/>
          <w:lang w:bidi="he-IL"/>
        </w:rPr>
        <w:t xml:space="preserve"> ועי' בפר"ת </w:t>
      </w:r>
      <w:r w:rsidR="000B553E">
        <w:rPr>
          <w:rFonts w:hint="cs"/>
          <w:rtl/>
          <w:lang w:bidi="he-IL"/>
        </w:rPr>
        <w:t>שמדחיק בדברי המרדכי שלעולם דעתו שהולכין רק אחרי מעמד ולא ס"ל הא דתוס', ומה שצריך מקום השתמשות הוא דין בכל הל' מעמד ולא מחמת טבילת כלים.</w:t>
      </w:r>
    </w:p>
  </w:footnote>
  <w:footnote w:id="2">
    <w:p w:rsidR="004E552D" w:rsidRDefault="004E552D" w:rsidP="004E552D">
      <w:pPr>
        <w:pStyle w:val="FootnoteText"/>
        <w:bidi/>
        <w:rPr>
          <w:rtl/>
          <w:lang w:bidi="he-IL"/>
        </w:rPr>
      </w:pPr>
      <w:r>
        <w:rPr>
          <w:rStyle w:val="FootnoteReference"/>
        </w:rPr>
        <w:footnoteRef/>
      </w:r>
      <w:r>
        <w:t xml:space="preserve"> </w:t>
      </w:r>
      <w:r>
        <w:rPr>
          <w:rFonts w:hint="cs"/>
          <w:rtl/>
          <w:lang w:bidi="he-IL"/>
        </w:rPr>
        <w:t xml:space="preserve"> ועי"ש שכתב "וז"ש ובלא היתידות וכו'" ולכאו' כוונתו שזה דעת הרמ"א במש"כ "לא היה אפשר להשתמש בו" שהוא מעמד להשתמשות הכלי אבל לא עצם הכלי, ועדיין צריך עיון לפתור ולהבין דברי קדשו שהם הררים תלויים בשערה כידוע. </w:t>
      </w:r>
    </w:p>
  </w:footnote>
  <w:footnote w:id="3">
    <w:p w:rsidR="002B578A" w:rsidRDefault="002B578A" w:rsidP="002B578A">
      <w:pPr>
        <w:pStyle w:val="FootnoteText"/>
        <w:bidi/>
        <w:rPr>
          <w:rtl/>
          <w:lang w:bidi="he-IL"/>
        </w:rPr>
      </w:pPr>
      <w:r>
        <w:rPr>
          <w:rStyle w:val="FootnoteReference"/>
        </w:rPr>
        <w:footnoteRef/>
      </w:r>
      <w:r>
        <w:t xml:space="preserve"> </w:t>
      </w:r>
      <w:r>
        <w:rPr>
          <w:rFonts w:hint="cs"/>
          <w:rtl/>
          <w:lang w:bidi="he-IL"/>
        </w:rPr>
        <w:t xml:space="preserve"> ועי' בס' שערים המצויינים בהלכה סי' לז' אות ז' שמביר דבריו ומדמה סברתו לחי' הידוע של החזו"א שכל שסוגר מעגל חשמלי בשבת חייב משום בונה.</w:t>
      </w:r>
    </w:p>
  </w:footnote>
  <w:footnote w:id="4">
    <w:p w:rsidR="00F257EE" w:rsidRDefault="00F257EE" w:rsidP="00F257EE">
      <w:pPr>
        <w:pStyle w:val="FootnoteText"/>
        <w:bidi/>
        <w:rPr>
          <w:rtl/>
          <w:lang w:bidi="he-IL"/>
        </w:rPr>
      </w:pPr>
      <w:r>
        <w:rPr>
          <w:rStyle w:val="FootnoteReference"/>
        </w:rPr>
        <w:footnoteRef/>
      </w:r>
      <w:r>
        <w:t xml:space="preserve"> </w:t>
      </w:r>
      <w:r>
        <w:rPr>
          <w:rFonts w:hint="cs"/>
          <w:rtl/>
          <w:lang w:bidi="he-IL"/>
        </w:rPr>
        <w:t xml:space="preserve"> ואה"נ אם צריך אומן לחברו שוב, אז אם יהודי מחברו הוי כלי ישראל שפטור מן הטבילה.</w:t>
      </w:r>
    </w:p>
  </w:footnote>
  <w:footnote w:id="5">
    <w:p w:rsidR="00917EA6" w:rsidRDefault="00917EA6" w:rsidP="00917EA6">
      <w:pPr>
        <w:pStyle w:val="FootnoteText"/>
        <w:bidi/>
        <w:rPr>
          <w:lang w:bidi="he-IL"/>
        </w:rPr>
      </w:pPr>
      <w:r>
        <w:rPr>
          <w:rStyle w:val="FootnoteReference"/>
        </w:rPr>
        <w:footnoteRef/>
      </w:r>
      <w:r>
        <w:t xml:space="preserve"> </w:t>
      </w:r>
      <w:r>
        <w:rPr>
          <w:rFonts w:hint="cs"/>
          <w:rtl/>
          <w:lang w:bidi="he-IL"/>
        </w:rPr>
        <w:t xml:space="preserve"> וכגון </w:t>
      </w:r>
      <w:r>
        <w:rPr>
          <w:lang w:bidi="he-IL"/>
        </w:rPr>
        <w:t>immersion blender, sandwich maker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5B26A1"/>
    <w:rsid w:val="00001041"/>
    <w:rsid w:val="00005007"/>
    <w:rsid w:val="00050FE1"/>
    <w:rsid w:val="00081CA9"/>
    <w:rsid w:val="0009791D"/>
    <w:rsid w:val="000A5D54"/>
    <w:rsid w:val="000B5505"/>
    <w:rsid w:val="000B553E"/>
    <w:rsid w:val="001C7F6D"/>
    <w:rsid w:val="001E3318"/>
    <w:rsid w:val="001E3515"/>
    <w:rsid w:val="001E7827"/>
    <w:rsid w:val="001F1660"/>
    <w:rsid w:val="00250B8A"/>
    <w:rsid w:val="00284709"/>
    <w:rsid w:val="002B578A"/>
    <w:rsid w:val="002F2633"/>
    <w:rsid w:val="003064C0"/>
    <w:rsid w:val="003100D6"/>
    <w:rsid w:val="00314667"/>
    <w:rsid w:val="00394325"/>
    <w:rsid w:val="00396D02"/>
    <w:rsid w:val="003B3FF6"/>
    <w:rsid w:val="003C140C"/>
    <w:rsid w:val="0043165C"/>
    <w:rsid w:val="0043430C"/>
    <w:rsid w:val="004E552D"/>
    <w:rsid w:val="005023B7"/>
    <w:rsid w:val="005237C2"/>
    <w:rsid w:val="00536DE1"/>
    <w:rsid w:val="005614F0"/>
    <w:rsid w:val="005B26A1"/>
    <w:rsid w:val="005B3958"/>
    <w:rsid w:val="005B6472"/>
    <w:rsid w:val="005D5125"/>
    <w:rsid w:val="005E43B0"/>
    <w:rsid w:val="005F1065"/>
    <w:rsid w:val="00700CE3"/>
    <w:rsid w:val="00745C9A"/>
    <w:rsid w:val="007639CE"/>
    <w:rsid w:val="00807C06"/>
    <w:rsid w:val="008506A7"/>
    <w:rsid w:val="008D04FB"/>
    <w:rsid w:val="00903C86"/>
    <w:rsid w:val="00917EA6"/>
    <w:rsid w:val="00980E11"/>
    <w:rsid w:val="009A0BE0"/>
    <w:rsid w:val="009B1801"/>
    <w:rsid w:val="009E2141"/>
    <w:rsid w:val="009F35F9"/>
    <w:rsid w:val="009F4BCA"/>
    <w:rsid w:val="00A46B3E"/>
    <w:rsid w:val="00AA6111"/>
    <w:rsid w:val="00AA7189"/>
    <w:rsid w:val="00AE0669"/>
    <w:rsid w:val="00AF6E0C"/>
    <w:rsid w:val="00B30D3F"/>
    <w:rsid w:val="00B62655"/>
    <w:rsid w:val="00B65998"/>
    <w:rsid w:val="00BB4B59"/>
    <w:rsid w:val="00BC1C9D"/>
    <w:rsid w:val="00C03AF4"/>
    <w:rsid w:val="00C42847"/>
    <w:rsid w:val="00C55891"/>
    <w:rsid w:val="00CA3BFC"/>
    <w:rsid w:val="00D518CA"/>
    <w:rsid w:val="00D616C5"/>
    <w:rsid w:val="00DB1545"/>
    <w:rsid w:val="00E63950"/>
    <w:rsid w:val="00EE4B45"/>
    <w:rsid w:val="00F13487"/>
    <w:rsid w:val="00F1482C"/>
    <w:rsid w:val="00F235CC"/>
    <w:rsid w:val="00F257EE"/>
    <w:rsid w:val="00F80399"/>
    <w:rsid w:val="00FA5984"/>
    <w:rsid w:val="00FC5C2F"/>
    <w:rsid w:val="00FE28D7"/>
    <w:rsid w:val="00FF08C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5D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D54"/>
    <w:rPr>
      <w:sz w:val="20"/>
      <w:szCs w:val="20"/>
    </w:rPr>
  </w:style>
  <w:style w:type="character" w:styleId="FootnoteReference">
    <w:name w:val="footnote reference"/>
    <w:basedOn w:val="DefaultParagraphFont"/>
    <w:uiPriority w:val="99"/>
    <w:semiHidden/>
    <w:unhideWhenUsed/>
    <w:rsid w:val="000A5D5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75D1F-1567-4BE8-A519-6D3E573F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3102</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ladersh</dc:creator>
  <cp:lastModifiedBy>ladersh</cp:lastModifiedBy>
  <cp:revision>42</cp:revision>
  <cp:lastPrinted>2012-05-10T10:37:00Z</cp:lastPrinted>
  <dcterms:created xsi:type="dcterms:W3CDTF">2012-05-09T23:05:00Z</dcterms:created>
  <dcterms:modified xsi:type="dcterms:W3CDTF">2012-11-24T19:45:00Z</dcterms:modified>
</cp:coreProperties>
</file>