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5D" w:rsidRDefault="00896E5D" w:rsidP="00896E5D">
      <w:pPr>
        <w:bidi/>
        <w:spacing w:after="0"/>
        <w:rPr>
          <w:rFonts w:cs="David"/>
          <w:sz w:val="28"/>
          <w:szCs w:val="28"/>
          <w:rtl/>
          <w:lang w:bidi="he-IL"/>
        </w:rPr>
      </w:pPr>
      <w:r>
        <w:rPr>
          <w:rFonts w:cs="David" w:hint="cs"/>
          <w:sz w:val="28"/>
          <w:szCs w:val="28"/>
          <w:rtl/>
          <w:lang w:bidi="he-IL"/>
        </w:rPr>
        <w:t>הל' טבילת כלים  יו"ד סי' ק"כ</w:t>
      </w:r>
    </w:p>
    <w:p w:rsidR="00896E5D" w:rsidRDefault="00896E5D" w:rsidP="00896E5D">
      <w:pPr>
        <w:bidi/>
        <w:rPr>
          <w:rFonts w:cs="David"/>
          <w:sz w:val="28"/>
          <w:szCs w:val="28"/>
          <w:rtl/>
          <w:lang w:bidi="he-IL"/>
        </w:rPr>
      </w:pPr>
      <w:r>
        <w:rPr>
          <w:rFonts w:cs="David" w:hint="cs"/>
          <w:sz w:val="28"/>
          <w:szCs w:val="28"/>
          <w:rtl/>
          <w:lang w:bidi="he-IL"/>
        </w:rPr>
        <w:t xml:space="preserve">שיעור ו'   </w:t>
      </w:r>
    </w:p>
    <w:p w:rsidR="00CA2776" w:rsidRDefault="00896E5D" w:rsidP="00954500">
      <w:pPr>
        <w:bidi/>
        <w:rPr>
          <w:rFonts w:cs="David"/>
          <w:sz w:val="28"/>
          <w:szCs w:val="28"/>
          <w:rtl/>
          <w:lang w:bidi="he-IL"/>
        </w:rPr>
      </w:pPr>
      <w:r>
        <w:rPr>
          <w:rFonts w:cs="David" w:hint="cs"/>
          <w:sz w:val="28"/>
          <w:szCs w:val="28"/>
          <w:rtl/>
          <w:lang w:bidi="he-IL"/>
        </w:rPr>
        <w:t xml:space="preserve">א) </w:t>
      </w:r>
      <w:r w:rsidR="00E47A08">
        <w:rPr>
          <w:rFonts w:cs="David" w:hint="cs"/>
          <w:sz w:val="28"/>
          <w:szCs w:val="28"/>
          <w:rtl/>
          <w:lang w:bidi="he-IL"/>
        </w:rPr>
        <w:t xml:space="preserve">כבר נתבאר לעיל [שיעור ד'] </w:t>
      </w:r>
      <w:r w:rsidR="00D35A1B">
        <w:rPr>
          <w:rFonts w:cs="David" w:hint="cs"/>
          <w:sz w:val="28"/>
          <w:szCs w:val="28"/>
          <w:rtl/>
          <w:lang w:bidi="he-IL"/>
        </w:rPr>
        <w:t xml:space="preserve">שאחד מהתנאים להתחייב כלי בטבילה הוא שיהיה כלי סעודה, ועי"ש שהרחבנו בפרטי הדין וגדר מה נקרא כלי סעודה. גם נתבאר שרק כלי שהוא כלי של גוי ונקרא על שמו חייב טבילה [שיעור ה']. ולכן יש כמה ספיקות כשהחומר הוא של הישראל והגוי עושה הכלי, וכן להיפך [שם]. </w:t>
      </w:r>
      <w:r w:rsidR="00954500">
        <w:rPr>
          <w:rFonts w:cs="David" w:hint="cs"/>
          <w:sz w:val="28"/>
          <w:szCs w:val="28"/>
          <w:rtl/>
          <w:lang w:bidi="he-IL"/>
        </w:rPr>
        <w:t>ו</w:t>
      </w:r>
      <w:r w:rsidR="00D35A1B">
        <w:rPr>
          <w:rFonts w:cs="David" w:hint="cs"/>
          <w:sz w:val="28"/>
          <w:szCs w:val="28"/>
          <w:rtl/>
          <w:lang w:bidi="he-IL"/>
        </w:rPr>
        <w:t xml:space="preserve">באופן שיש כלי שיכול להשתמש בו </w:t>
      </w:r>
      <w:r w:rsidR="00954500">
        <w:rPr>
          <w:rFonts w:cs="David" w:hint="cs"/>
          <w:sz w:val="28"/>
          <w:szCs w:val="28"/>
          <w:rtl/>
          <w:lang w:bidi="he-IL"/>
        </w:rPr>
        <w:t>בין לצרכי סעודה ובין לשאר צרכים, מבואר לעיל [שם] שהולכין בתר רוב תשמישו</w:t>
      </w:r>
      <w:r w:rsidR="00CA2776">
        <w:rPr>
          <w:rFonts w:cs="David" w:hint="cs"/>
          <w:sz w:val="28"/>
          <w:szCs w:val="28"/>
          <w:rtl/>
          <w:lang w:bidi="he-IL"/>
        </w:rPr>
        <w:t xml:space="preserve">, עי"ש הפרטים בזה. ועוד יש לדון </w:t>
      </w:r>
      <w:r w:rsidR="00CA2776" w:rsidRPr="00CA2776">
        <w:rPr>
          <w:rFonts w:cs="David" w:hint="cs"/>
          <w:sz w:val="28"/>
          <w:szCs w:val="28"/>
          <w:u w:val="single"/>
          <w:rtl/>
          <w:lang w:bidi="he-IL"/>
        </w:rPr>
        <w:t>מי הוא</w:t>
      </w:r>
      <w:r w:rsidR="00CA2776">
        <w:rPr>
          <w:rFonts w:cs="David" w:hint="cs"/>
          <w:sz w:val="28"/>
          <w:szCs w:val="28"/>
          <w:u w:val="single"/>
          <w:rtl/>
          <w:lang w:bidi="he-IL"/>
        </w:rPr>
        <w:t xml:space="preserve"> </w:t>
      </w:r>
      <w:r w:rsidR="00CA2776">
        <w:rPr>
          <w:rFonts w:cs="David" w:hint="cs"/>
          <w:sz w:val="28"/>
          <w:szCs w:val="28"/>
          <w:rtl/>
          <w:lang w:bidi="he-IL"/>
        </w:rPr>
        <w:t>הקובע הגדרתו של הכלי. האם צריך להיות כלי סעודה ביד הגוי, ביד ישראל או אפי' אם מישהו אחר משתמש בו לצרכי סעודה זה כבר מספיק לתת עליו שם כלי סעודה, ולחייבו בטבילה.</w:t>
      </w:r>
    </w:p>
    <w:p w:rsidR="00E549A5" w:rsidRDefault="00CA2776" w:rsidP="00CA2776">
      <w:pPr>
        <w:bidi/>
        <w:rPr>
          <w:rFonts w:cs="David"/>
          <w:sz w:val="28"/>
          <w:szCs w:val="28"/>
          <w:rtl/>
          <w:lang w:bidi="he-IL"/>
        </w:rPr>
      </w:pPr>
      <w:r>
        <w:rPr>
          <w:rFonts w:cs="David" w:hint="cs"/>
          <w:sz w:val="28"/>
          <w:szCs w:val="28"/>
          <w:rtl/>
          <w:lang w:bidi="he-IL"/>
        </w:rPr>
        <w:t xml:space="preserve">ב) והנה, בסעי' ח' המחבר לדינא דברי התוס' [עה:] שכל שישראל קונה כלי סעודה שחייב בטבילה ואינו טובלו, ואחר בא ושואלו ממנו, השואל חייב לטובלו. דכיון שכבר יצא מרשות גוי לרשות ישראל וחל עליו חובת טבילה, גם השואל חייב מחמת זה [עי' בביאור הגר"א]. </w:t>
      </w:r>
      <w:r w:rsidR="00463829">
        <w:rPr>
          <w:rFonts w:cs="David" w:hint="cs"/>
          <w:sz w:val="28"/>
          <w:szCs w:val="28"/>
          <w:rtl/>
          <w:lang w:bidi="he-IL"/>
        </w:rPr>
        <w:t>ודין זה הוא דבר מוסכם לכל. עוד מביא המחבר שאם הישראל קונה ממנו סכין [לדוגמא] אבל לא לצרכי אוכל אלא לחתוך קלפים, "יש מי שאומר" שבכה"ג אם השאיל הכלי לאחר, גם אם השואל משתמש בו לצרכי סעודה, פטור מטבילה.</w:t>
      </w:r>
      <w:r w:rsidR="00E549A5">
        <w:rPr>
          <w:rFonts w:cs="David" w:hint="cs"/>
          <w:sz w:val="28"/>
          <w:szCs w:val="28"/>
          <w:rtl/>
          <w:lang w:bidi="he-IL"/>
        </w:rPr>
        <w:t xml:space="preserve"> והוא דעת ההגהות אשר"י בסוף ע"ז. ובש"ך וט"ז שם מביאים שיטת האיסו"ה שבכה"ג חייב השואל בטבילה, והם מחמירין כדבריו לטבול בלי ברכה. </w:t>
      </w:r>
    </w:p>
    <w:p w:rsidR="00A332E8" w:rsidRDefault="00E549A5" w:rsidP="00E549A5">
      <w:pPr>
        <w:bidi/>
        <w:rPr>
          <w:rFonts w:cs="David"/>
          <w:sz w:val="28"/>
          <w:szCs w:val="28"/>
          <w:rtl/>
          <w:lang w:bidi="he-IL"/>
        </w:rPr>
      </w:pPr>
      <w:r>
        <w:rPr>
          <w:rFonts w:cs="David" w:hint="cs"/>
          <w:sz w:val="28"/>
          <w:szCs w:val="28"/>
          <w:rtl/>
          <w:lang w:bidi="he-IL"/>
        </w:rPr>
        <w:t>ג) ויש מקום לומר שיש כאן מח' יסודית. שלדעת ההגהות אשרי, מי שקונה כלי לצורך חיתוך קלפים הכלי שוב אינו מוגדר כלל ככלי סעודה ופטור לגמרי מטבילת כלים. ולכן השואל שאין לו שימוש קבוע או בעלות בהכלי אינו יכול לעשותו</w:t>
      </w:r>
      <w:r w:rsidR="00A332E8">
        <w:rPr>
          <w:rFonts w:cs="David" w:hint="cs"/>
          <w:sz w:val="28"/>
          <w:szCs w:val="28"/>
          <w:rtl/>
          <w:lang w:bidi="he-IL"/>
        </w:rPr>
        <w:t xml:space="preserve"> לכלי סועדה, ולכן אינו צריך לטובלו. משא"כ לדעת האיסו"ה, הראשון אינו צריך לטבול הכלי כיון שלמעשה אינו משתמש לצרכי סעודה. אבל לעולם שם כלי סעודה עליו, ושייך לטבילת כלים. ולכן השואל שאכן משתמש בו לצרכי סעודה, חייב לטובלו. וכן נראה לכאו' מהט"ז ס"ק י', שכתב שלפי האיסו"ה שייך טבילה ע"י השואל, אבל לההגהות אשרי כיון שאינו חייב, אין כאן טבילה ולכן כשמישהו אחר קונהו לצרכי סעודה צריך טבילה שוב. ומבואר שכל שהוא מיועד לחיתוך קלפים או סחורה, אין עליו שם כלי סעודה.</w:t>
      </w:r>
    </w:p>
    <w:p w:rsidR="00DF62A0" w:rsidRDefault="003B6638" w:rsidP="00AC7DD7">
      <w:pPr>
        <w:bidi/>
        <w:rPr>
          <w:rFonts w:cs="David"/>
          <w:sz w:val="28"/>
          <w:szCs w:val="28"/>
          <w:rtl/>
          <w:lang w:bidi="he-IL"/>
        </w:rPr>
      </w:pPr>
      <w:r>
        <w:rPr>
          <w:rFonts w:cs="David" w:hint="cs"/>
          <w:sz w:val="28"/>
          <w:szCs w:val="28"/>
          <w:rtl/>
          <w:lang w:bidi="he-IL"/>
        </w:rPr>
        <w:t xml:space="preserve">ד) אבל באמת נראה שאינו מוכרח לומר שיש כאן מח' כנ"ל. אלא נראה שלכ"ע גם כשהוא ביד ישראל הראשון לשם שאר צרכים, עדיין שם כלי סעודה עליו, ושייך לטבילת כלים. אלא שאינו משתמש בו לאכילה, ולכן פטור. </w:t>
      </w:r>
      <w:r w:rsidR="00AC7DD7">
        <w:rPr>
          <w:rFonts w:cs="David" w:hint="cs"/>
          <w:sz w:val="28"/>
          <w:szCs w:val="28"/>
          <w:rtl/>
          <w:lang w:bidi="he-IL"/>
        </w:rPr>
        <w:t>והמח' לגבי השואל הוא רק בזה, שלדעת האיסו"ה גם מה שהוא משאיל כליו לצרכי אוכל הוא שימוש שחייב בטבילה, וכמו כשהוא משתמש בהם בדרך עראי שחייב טבילה [כמבואר ברמ"א]. ודעת הגהות אשרי הוא שכל שעיקר קביעות הוא לשאר דברים, אין שימוש השואל מחייב טבילה שלעת עתה עדיין עיקר יעודו לשאר דברים. ולפי זה אה"נ שכל שטובלו הראשון או השואל, מהני הטבילה גם לאח"כ כשבא ליד ישראל אחר. ודברי הט"ז יש לומר שחשש רק שהשני לא יטבול בברכה אבל לעולם אין לו חיוב לטבול כלל. וכן למדו בכוונתו כמה מפוסקי זמנינו.</w:t>
      </w:r>
    </w:p>
    <w:p w:rsidR="002D33AF" w:rsidRDefault="00DF62A0" w:rsidP="00DF62A0">
      <w:pPr>
        <w:bidi/>
        <w:rPr>
          <w:rFonts w:cs="David"/>
          <w:sz w:val="28"/>
          <w:szCs w:val="28"/>
          <w:rtl/>
          <w:lang w:bidi="he-IL"/>
        </w:rPr>
      </w:pPr>
      <w:r>
        <w:rPr>
          <w:rFonts w:cs="David" w:hint="cs"/>
          <w:sz w:val="28"/>
          <w:szCs w:val="28"/>
          <w:rtl/>
          <w:lang w:bidi="he-IL"/>
        </w:rPr>
        <w:lastRenderedPageBreak/>
        <w:t>ה) וחוץ ממה שמרויחים בזה שממעטין בפלוגתא בין הראשונים. באמת נראה מהלך השני יותר. דהלא כל תנאי של כלי סעודה נלמד ממה שכתב בגמ' "כלי סעודה נאמרין בפרשה". וברש"י ביאר משום שכתיב "כל אשר תבא באש"</w:t>
      </w:r>
      <w:r w:rsidR="00DC0EEF">
        <w:rPr>
          <w:rFonts w:cs="David" w:hint="cs"/>
          <w:sz w:val="28"/>
          <w:szCs w:val="28"/>
          <w:rtl/>
          <w:lang w:bidi="he-IL"/>
        </w:rPr>
        <w:t xml:space="preserve"> ודרך של כלי סעודה להשתמש באש. וברשב"א מבואר באפ"א שכל שצריך "תעבירו באש" דהיינו הכשר הגעלה וכדו', וזה דווקא בכלי סעודה. ובין למר ובין למר הלא כל מקור של כלי סעודה הוא ממה שהיה אצל הגוי ככלי סעודה. ומבואר שרק בזה שנחשב אצל הגוי חייב טבילה. ולכן נתקשה הריטב"א בהא דכלים חדשים חייבים בטבילה, וביאר שהוא משום שהיו עתידין ליטמאות במאכלי גויים.</w:t>
      </w:r>
    </w:p>
    <w:p w:rsidR="00242494" w:rsidRDefault="002D33AF" w:rsidP="002D33AF">
      <w:pPr>
        <w:bidi/>
        <w:rPr>
          <w:rFonts w:cs="David"/>
          <w:sz w:val="28"/>
          <w:szCs w:val="28"/>
          <w:rtl/>
          <w:lang w:bidi="he-IL"/>
        </w:rPr>
      </w:pPr>
      <w:r>
        <w:rPr>
          <w:rFonts w:cs="David" w:hint="cs"/>
          <w:sz w:val="28"/>
          <w:szCs w:val="28"/>
          <w:rtl/>
          <w:lang w:bidi="he-IL"/>
        </w:rPr>
        <w:t xml:space="preserve">ו) והנה, גוי שיש לו סכין שמשתמש בו לחיתוך קלפים, וישראל קונה ממנו לצרכי אכילה מוכרח הוא שחייב בטבילה. דהלא הב"י מדמה היתר כלי סחורה לסכין לחיתוך קלפים, ששניהם פטורים מטבילה [השואל ממנו לדעת ההגה"א]. והלא גוי שעושה כלי כדי למוכרו פשוט לכל שחייב בטבילה, ומה שמביאים מהגאון מרוגוצו'ב שבאמת פטורים הוא חי' נורא כדרכו בקודש, ואינו להל' כלל. וא"כ ה"ה סכין לקלפים שקונה ישראל לאכילה חייב בטבילה, וז"ב. </w:t>
      </w:r>
    </w:p>
    <w:p w:rsidR="008A4DD3" w:rsidRDefault="00242494" w:rsidP="00242494">
      <w:pPr>
        <w:bidi/>
        <w:rPr>
          <w:rFonts w:cs="David"/>
          <w:sz w:val="28"/>
          <w:szCs w:val="28"/>
          <w:rtl/>
          <w:lang w:bidi="he-IL"/>
        </w:rPr>
      </w:pPr>
      <w:r>
        <w:rPr>
          <w:rFonts w:cs="David" w:hint="cs"/>
          <w:sz w:val="28"/>
          <w:szCs w:val="28"/>
          <w:rtl/>
          <w:lang w:bidi="he-IL"/>
        </w:rPr>
        <w:t>ז) ומבואר מכל זה שהגדרת כלי סעודה הוא גם באופן שאינו משתמש בפועל לצרכי סעודה אלא שהוא כלי שכן דרכו להשתמש</w:t>
      </w:r>
      <w:r w:rsidR="00F43827">
        <w:rPr>
          <w:rFonts w:cs="David" w:hint="cs"/>
          <w:sz w:val="28"/>
          <w:szCs w:val="28"/>
          <w:rtl/>
          <w:lang w:bidi="he-IL"/>
        </w:rPr>
        <w:t xml:space="preserve"> לסעודה, והרבה עושים כן עם כלי כ</w:t>
      </w:r>
      <w:r>
        <w:rPr>
          <w:rFonts w:cs="David" w:hint="cs"/>
          <w:sz w:val="28"/>
          <w:szCs w:val="28"/>
          <w:rtl/>
          <w:lang w:bidi="he-IL"/>
        </w:rPr>
        <w:t>זו.</w:t>
      </w:r>
      <w:r w:rsidR="0068114D">
        <w:rPr>
          <w:rFonts w:cs="David" w:hint="cs"/>
          <w:sz w:val="28"/>
          <w:szCs w:val="28"/>
          <w:rtl/>
          <w:lang w:bidi="he-IL"/>
        </w:rPr>
        <w:t xml:space="preserve"> וכן מוכח מהא דכלים חדשים כנ"ל, דמה שכתב הריטב"א שסופו להשתמש לאכילה בהרבה מקרים באמת אינו כן. אלא כוונתו שסוף סוף כלי כזה עומד הוא לצרכי אכילה ובזה יורד עליו טומאת גויים, וחייב בטבילה.</w:t>
      </w:r>
      <w:r w:rsidR="009032AB">
        <w:rPr>
          <w:rFonts w:cs="David" w:hint="cs"/>
          <w:sz w:val="28"/>
          <w:szCs w:val="28"/>
          <w:rtl/>
          <w:lang w:bidi="he-IL"/>
        </w:rPr>
        <w:t xml:space="preserve"> וא"כ מסתבר שהוא הדין והא הטעם אצל ישראל הקונה ממנו, שמה שמשתמש בו לקלפים אינו מפקיעו מתורת כלי סעודה, ורק הוא שפטור שאינו משתמש בפועל לצרכי סעודה.</w:t>
      </w:r>
    </w:p>
    <w:p w:rsidR="004C30FC" w:rsidRDefault="008A4DD3" w:rsidP="008A4DD3">
      <w:pPr>
        <w:bidi/>
        <w:rPr>
          <w:rFonts w:cs="David"/>
          <w:sz w:val="28"/>
          <w:szCs w:val="28"/>
          <w:rtl/>
          <w:lang w:bidi="he-IL"/>
        </w:rPr>
      </w:pPr>
      <w:r>
        <w:rPr>
          <w:rFonts w:cs="David" w:hint="cs"/>
          <w:sz w:val="28"/>
          <w:szCs w:val="28"/>
          <w:rtl/>
          <w:lang w:bidi="he-IL"/>
        </w:rPr>
        <w:t>ח) וכל זה הוא בכה"ג שמדובר על כלי שהוא בעצמותו עומד גם לצרכי סעודה, ורק שיש שמשתמשין בו לשאר דברים. אבל באופן שיש כלי שאינו כלי סעודה כלל, אלא כלי שעומד כל כולו לשאר דברים. בזה כיון שמה שהישראל קונה מהגוי אינו כלי סעודה, פשוט שפטור מטבילה. וזה גם באופן שמשתמש בו הישראל לצרכי סעודה. או משום שבטלה דעתו של זה להגדירו ככלי סעודה, ויותר נראה שאה"נ הישראל עשה ממנו כלי סעודה, אבל זה כלי סעודה שעשה ישראל מכלי של גוי ופטור כמו העושה כלי סעודה ממתכת גולמי של גוי.</w:t>
      </w:r>
    </w:p>
    <w:p w:rsidR="004C30FC" w:rsidRDefault="004C30FC" w:rsidP="004C30FC">
      <w:pPr>
        <w:bidi/>
        <w:rPr>
          <w:rFonts w:cs="David"/>
          <w:sz w:val="28"/>
          <w:szCs w:val="28"/>
          <w:rtl/>
          <w:lang w:bidi="he-IL"/>
        </w:rPr>
      </w:pPr>
      <w:r>
        <w:rPr>
          <w:rFonts w:cs="David" w:hint="cs"/>
          <w:sz w:val="28"/>
          <w:szCs w:val="28"/>
          <w:rtl/>
          <w:lang w:bidi="he-IL"/>
        </w:rPr>
        <w:t>ט) וראיתי מי שמפקפק בזה, אבל לענ"ד הוא דבר מוכרח ופשוט. והלא בגמ' מבואר שזוזא דסרבלא [מספריים לבגדי צמר] פטורים מטבילה שאינו כלי סעודה. וזה בא לאפוקי כלי סעודה כגון כוסות ןצלוחיות וכדו'. וכן מפורש בטור בריש הסי' שרק כלי סעודה חייבים וז"ל "ואין צריך טבילה...והן צרכי סעודה כגון כוסות וצלוחיות יורות וקומקומין וכיוצא בהן שהם צרכי סעודה". ואם איתא שהקונה זוזא דסרבלא לאכילה חייב, למה נקט הטור דווקא כלים אלו, לפלוג וליתני בדידיה, אלא פשוט כנ"ל.</w:t>
      </w:r>
      <w:r>
        <w:rPr>
          <w:rStyle w:val="FootnoteReference"/>
          <w:rFonts w:cs="David"/>
          <w:sz w:val="28"/>
          <w:szCs w:val="28"/>
          <w:rtl/>
          <w:lang w:bidi="he-IL"/>
        </w:rPr>
        <w:footnoteReference w:id="1"/>
      </w:r>
      <w:r w:rsidR="008A4DD3">
        <w:rPr>
          <w:rFonts w:cs="David" w:hint="cs"/>
          <w:sz w:val="28"/>
          <w:szCs w:val="28"/>
          <w:rtl/>
          <w:lang w:bidi="he-IL"/>
        </w:rPr>
        <w:t xml:space="preserve"> </w:t>
      </w:r>
    </w:p>
    <w:p w:rsidR="00D70188" w:rsidRDefault="00625FDB" w:rsidP="007F2D40">
      <w:pPr>
        <w:bidi/>
        <w:rPr>
          <w:rFonts w:cs="David"/>
          <w:sz w:val="28"/>
          <w:szCs w:val="28"/>
          <w:rtl/>
          <w:lang w:bidi="he-IL"/>
        </w:rPr>
      </w:pPr>
      <w:r>
        <w:rPr>
          <w:rFonts w:cs="David" w:hint="cs"/>
          <w:sz w:val="28"/>
          <w:szCs w:val="28"/>
          <w:rtl/>
          <w:lang w:bidi="he-IL"/>
        </w:rPr>
        <w:t>י) וכן הבינו הפוסקים</w:t>
      </w:r>
      <w:r w:rsidR="004C30FC">
        <w:rPr>
          <w:rFonts w:cs="David" w:hint="cs"/>
          <w:sz w:val="28"/>
          <w:szCs w:val="28"/>
          <w:rtl/>
          <w:lang w:bidi="he-IL"/>
        </w:rPr>
        <w:t xml:space="preserve"> מדברי הגמ'. שהלא דעת הש"ך וט"ז ע"פ דברי הפרישה שהיתר מספריים הוא לא רק לשל בגדים, אלא למסקנא גם מספריים של ירק [שאינם עושין תיקון גדול במאכל] פטורים מטבילה. והגמ' נקט של בגדים לרבותא, שלההו"א גם אלו חייבים. </w:t>
      </w:r>
      <w:r w:rsidR="004C30FC">
        <w:rPr>
          <w:rFonts w:cs="David" w:hint="cs"/>
          <w:sz w:val="28"/>
          <w:szCs w:val="28"/>
          <w:rtl/>
          <w:lang w:bidi="he-IL"/>
        </w:rPr>
        <w:lastRenderedPageBreak/>
        <w:t xml:space="preserve">ומבואר לדעתם </w:t>
      </w:r>
      <w:r w:rsidR="007F2D40">
        <w:rPr>
          <w:rFonts w:cs="David" w:hint="cs"/>
          <w:sz w:val="28"/>
          <w:szCs w:val="28"/>
          <w:rtl/>
          <w:lang w:bidi="he-IL"/>
        </w:rPr>
        <w:t>הגמ' מיירי בשימוש כלים אלו לאכליה ג"כ. דאם היתר זוזא דסרבלא הוא רק לשימוש בגדים, לכאו' לא שייך ללמוד מהגמ' היתר לכלים לשימוש אוכל.</w:t>
      </w:r>
      <w:r w:rsidR="008A4DD3">
        <w:rPr>
          <w:rFonts w:cs="David" w:hint="cs"/>
          <w:sz w:val="28"/>
          <w:szCs w:val="28"/>
          <w:rtl/>
          <w:lang w:bidi="he-IL"/>
        </w:rPr>
        <w:t xml:space="preserve"> </w:t>
      </w:r>
      <w:r w:rsidR="007F2D40">
        <w:rPr>
          <w:rFonts w:cs="David" w:hint="cs"/>
          <w:sz w:val="28"/>
          <w:szCs w:val="28"/>
          <w:rtl/>
          <w:lang w:bidi="he-IL"/>
        </w:rPr>
        <w:t>אבל כיון שמיירי גם לצרכי אוכל, ממילא מסקנת הגמ' הוא שגם לצרכי אוכל החיוב הוא רק "כלי סעודה" שעומדים לזה וגם עושים תיקון חשוב באוכל, ודו"ק.</w:t>
      </w:r>
      <w:r w:rsidR="00E940A4">
        <w:rPr>
          <w:rFonts w:cs="David" w:hint="cs"/>
          <w:sz w:val="28"/>
          <w:szCs w:val="28"/>
          <w:rtl/>
          <w:lang w:bidi="he-IL"/>
        </w:rPr>
        <w:t xml:space="preserve"> וכן מבואר ברמב"ם שכתב "הלוקח כלי תשמיש סעודה מן הגויים מכלי מתכות וכלי זכוכית" [יז' מאכ"א ג']. מפורש שרק </w:t>
      </w:r>
      <w:r w:rsidR="00E3110C">
        <w:rPr>
          <w:rFonts w:cs="David" w:hint="cs"/>
          <w:sz w:val="28"/>
          <w:szCs w:val="28"/>
          <w:rtl/>
          <w:lang w:bidi="he-IL"/>
        </w:rPr>
        <w:t>כ</w:t>
      </w:r>
      <w:r w:rsidR="00E940A4">
        <w:rPr>
          <w:rFonts w:cs="David" w:hint="cs"/>
          <w:sz w:val="28"/>
          <w:szCs w:val="28"/>
          <w:rtl/>
          <w:lang w:bidi="he-IL"/>
        </w:rPr>
        <w:t>שלוקחים מה שהיה בשימוש אצלם ככלי סעודה</w:t>
      </w:r>
      <w:r w:rsidR="00E3110C">
        <w:rPr>
          <w:rFonts w:cs="David" w:hint="cs"/>
          <w:sz w:val="28"/>
          <w:szCs w:val="28"/>
          <w:rtl/>
          <w:lang w:bidi="he-IL"/>
        </w:rPr>
        <w:t>, חייב בטבילה</w:t>
      </w:r>
      <w:r w:rsidR="00E940A4">
        <w:rPr>
          <w:rFonts w:cs="David" w:hint="cs"/>
          <w:sz w:val="28"/>
          <w:szCs w:val="28"/>
          <w:rtl/>
          <w:lang w:bidi="he-IL"/>
        </w:rPr>
        <w:t>.</w:t>
      </w:r>
    </w:p>
    <w:p w:rsidR="000D5645" w:rsidRDefault="00D70188" w:rsidP="00D70188">
      <w:pPr>
        <w:bidi/>
        <w:rPr>
          <w:rFonts w:cs="David"/>
          <w:sz w:val="28"/>
          <w:szCs w:val="28"/>
          <w:rtl/>
          <w:lang w:bidi="he-IL"/>
        </w:rPr>
      </w:pPr>
      <w:r>
        <w:rPr>
          <w:rFonts w:cs="David" w:hint="cs"/>
          <w:sz w:val="28"/>
          <w:szCs w:val="28"/>
          <w:rtl/>
          <w:lang w:bidi="he-IL"/>
        </w:rPr>
        <w:t xml:space="preserve">יא) והנה, בפרמ"ג או"ח סי' תנ"א משבצ"ז ס"ק ו', כתב שהקונה בלע"ך של מתכת מגויים ומיחדו לצרכי אפיי' וכדו' חייב בטבילה. ונראה שאין מזה סתירה לכל הנ"ל. דמסתמא מיירי באופן שזה היה דבר רגיל לקנות מתכות אלו לצרכי אוכל כזה. וא"כ לא גרע מהקונה סכין שהיה עומד אצל הגוי לחיתוך קלפים, שהגם שלא היה משתמש בפועל לסעודה עדיין שם כלי סעודה עלי וכיון שעומד גם לשימוש זו, וה"ה הכא. </w:t>
      </w:r>
    </w:p>
    <w:p w:rsidR="000D5645" w:rsidRDefault="000D5645" w:rsidP="000D5645">
      <w:pPr>
        <w:bidi/>
        <w:rPr>
          <w:rFonts w:cs="David"/>
          <w:sz w:val="28"/>
          <w:szCs w:val="28"/>
          <w:rtl/>
          <w:lang w:bidi="he-IL"/>
        </w:rPr>
      </w:pPr>
      <w:r>
        <w:rPr>
          <w:rFonts w:cs="David" w:hint="cs"/>
          <w:sz w:val="28"/>
          <w:szCs w:val="28"/>
          <w:rtl/>
          <w:lang w:bidi="he-IL"/>
        </w:rPr>
        <w:t>"שם גוי" על הכלי, ודין משכון</w:t>
      </w:r>
    </w:p>
    <w:p w:rsidR="00AC655E" w:rsidRDefault="000D5645" w:rsidP="00C93FC3">
      <w:pPr>
        <w:bidi/>
        <w:rPr>
          <w:rFonts w:cs="David"/>
          <w:sz w:val="28"/>
          <w:szCs w:val="28"/>
          <w:rtl/>
          <w:lang w:bidi="he-IL"/>
        </w:rPr>
      </w:pPr>
      <w:r>
        <w:rPr>
          <w:rFonts w:cs="David" w:hint="cs"/>
          <w:sz w:val="28"/>
          <w:szCs w:val="28"/>
          <w:rtl/>
          <w:lang w:bidi="he-IL"/>
        </w:rPr>
        <w:t xml:space="preserve">יב) </w:t>
      </w:r>
      <w:r w:rsidR="002D07C5">
        <w:rPr>
          <w:rFonts w:cs="David" w:hint="cs"/>
          <w:sz w:val="28"/>
          <w:szCs w:val="28"/>
          <w:rtl/>
          <w:lang w:bidi="he-IL"/>
        </w:rPr>
        <w:t>בסעי' יא' המחבר מביא דברי התוס' לדינא שאף שמשכון של גוי ביד ישראל יש ספק בגמ' אם חייב בטבילה או לאו, ועי' לעיל סע' ט' הפרטים בזה. מ"מ ישראל שנותן משכון ליד גוי, ואח"כ פודהו ממנו, בכה"ג פטור מטבילה "אע"ג דמספקא ליה לתלמודא או משכנתא כזביני, לענין הא, ודאי פשיטא דלא הוי זביני". ונחלקו האחרונים בכוונת דברי התוס'. בקרני רא"ם על המהרש"א מחלק ע"פ הגמ' בפסחים לב' שגוי אינו קונה משכון של ישראל אבל ישראל קונה משכון של גוי. וחוץ ממה שאין זה בשממעות דברי התוס', באמת א"א לומר כן. דהא בפסחים שם הוא מח' ר"מ וחכמים, ולדעת חכמים גם ישראל אינו קונה משכון של גוי. והרא"ש פסק כוותי'</w:t>
      </w:r>
      <w:r w:rsidR="00C93FC3">
        <w:rPr>
          <w:rFonts w:cs="David" w:hint="cs"/>
          <w:sz w:val="28"/>
          <w:szCs w:val="28"/>
          <w:rtl/>
          <w:lang w:bidi="he-IL"/>
        </w:rPr>
        <w:t xml:space="preserve"> [וכן בש"ע סי' תנ"א קיי"ל כן]</w:t>
      </w:r>
      <w:r w:rsidR="002D07C5">
        <w:rPr>
          <w:rFonts w:cs="David" w:hint="cs"/>
          <w:sz w:val="28"/>
          <w:szCs w:val="28"/>
          <w:rtl/>
          <w:lang w:bidi="he-IL"/>
        </w:rPr>
        <w:t xml:space="preserve"> ואפ"ה מחלק כאן כ</w:t>
      </w:r>
      <w:r w:rsidR="00C93FC3">
        <w:rPr>
          <w:rFonts w:cs="David" w:hint="cs"/>
          <w:sz w:val="28"/>
          <w:szCs w:val="28"/>
          <w:rtl/>
          <w:lang w:bidi="he-IL"/>
        </w:rPr>
        <w:t xml:space="preserve">דעת התוס'. </w:t>
      </w:r>
    </w:p>
    <w:p w:rsidR="00896E5D" w:rsidRDefault="00AC655E" w:rsidP="00AC655E">
      <w:pPr>
        <w:bidi/>
        <w:rPr>
          <w:rFonts w:cs="David"/>
          <w:sz w:val="28"/>
          <w:szCs w:val="28"/>
          <w:rtl/>
          <w:lang w:bidi="he-IL"/>
        </w:rPr>
      </w:pPr>
      <w:r>
        <w:rPr>
          <w:rFonts w:cs="David" w:hint="cs"/>
          <w:sz w:val="28"/>
          <w:szCs w:val="28"/>
          <w:rtl/>
          <w:lang w:bidi="he-IL"/>
        </w:rPr>
        <w:t>יג) ובמהרש"א על תוס' שם מבואר באפ"א. והוא שלעולם משכוןמישראל לגוי ומגוי לישראל שוין הם לגמרי, ובשניהם יש ספק כל שהמשכון ביד השני שהוא כשלו. אלא שמשכון ביד ישראל אנו דנין עלי ועכשיו שהטוא בתוך יש ישראל ולכו חייב. אבל משכון ביד גוי, אה"נ מחזי כשלו, אבל אנו דנין על הזמן אחר שהישראל פודה ממנו. ואז שוב אינו נראה כשל הגוי ולכן פטור מטבילה.</w:t>
      </w:r>
      <w:r>
        <w:rPr>
          <w:rStyle w:val="FootnoteReference"/>
          <w:rFonts w:cs="David"/>
          <w:sz w:val="28"/>
          <w:szCs w:val="28"/>
          <w:rtl/>
          <w:lang w:bidi="he-IL"/>
        </w:rPr>
        <w:footnoteReference w:id="2"/>
      </w:r>
      <w:r>
        <w:rPr>
          <w:rFonts w:cs="David" w:hint="cs"/>
          <w:sz w:val="28"/>
          <w:szCs w:val="28"/>
          <w:rtl/>
          <w:lang w:bidi="he-IL"/>
        </w:rPr>
        <w:t xml:space="preserve"> </w:t>
      </w:r>
      <w:r w:rsidR="00EC1EAB">
        <w:rPr>
          <w:rFonts w:cs="David" w:hint="cs"/>
          <w:sz w:val="28"/>
          <w:szCs w:val="28"/>
          <w:rtl/>
          <w:lang w:bidi="he-IL"/>
        </w:rPr>
        <w:t>ועי' באג"מ [יו"ד ח"ג סי' כא']</w:t>
      </w:r>
      <w:r>
        <w:rPr>
          <w:rFonts w:cs="David" w:hint="cs"/>
          <w:sz w:val="28"/>
          <w:szCs w:val="28"/>
          <w:rtl/>
          <w:lang w:bidi="he-IL"/>
        </w:rPr>
        <w:t xml:space="preserve"> </w:t>
      </w:r>
      <w:r w:rsidR="00EC1EAB">
        <w:rPr>
          <w:rFonts w:cs="David" w:hint="cs"/>
          <w:sz w:val="28"/>
          <w:szCs w:val="28"/>
          <w:rtl/>
          <w:lang w:bidi="he-IL"/>
        </w:rPr>
        <w:t xml:space="preserve">שהעיר על דברי המהרש"א שעל חילוק כזה לא היה לו לתוס' לכתוב שהוא פשיטא, דאין זה פשוט להוכיח מעכשיו על הזמן זהיה ביד הגוי. ועוד מוכיח מדברי המהרש"א שלדעתו כל דין משכון כזביני לגבי טבילה הוא מדרבנן, ולכן יש לחלק </w:t>
      </w:r>
      <w:r w:rsidR="00360603">
        <w:rPr>
          <w:rFonts w:cs="David" w:hint="cs"/>
          <w:sz w:val="28"/>
          <w:szCs w:val="28"/>
          <w:rtl/>
          <w:lang w:bidi="he-IL"/>
        </w:rPr>
        <w:t xml:space="preserve">האם מחזי כשלו עכשיו אם לאו. אבל פשטות הראשונים שיש כאן שאלה של טבילת כלים מדאורייתא ושלכן החמירו בספק הגמ' לגבי משכון. </w:t>
      </w:r>
    </w:p>
    <w:p w:rsidR="005D0D15" w:rsidRDefault="00360603" w:rsidP="00360603">
      <w:pPr>
        <w:bidi/>
        <w:rPr>
          <w:rFonts w:cs="David"/>
          <w:sz w:val="28"/>
          <w:szCs w:val="28"/>
          <w:rtl/>
          <w:lang w:bidi="he-IL"/>
        </w:rPr>
      </w:pPr>
      <w:r>
        <w:rPr>
          <w:rFonts w:cs="David" w:hint="cs"/>
          <w:sz w:val="28"/>
          <w:szCs w:val="28"/>
          <w:rtl/>
          <w:lang w:bidi="he-IL"/>
        </w:rPr>
        <w:t>יד) ולכן ביאר האג"מ שהדרך המרווח בתוס' הוא דרכו של הגר"</w:t>
      </w:r>
      <w:r>
        <w:rPr>
          <w:rFonts w:cs="David" w:hint="cs"/>
          <w:sz w:val="28"/>
          <w:szCs w:val="28"/>
          <w:lang w:bidi="he-IL"/>
        </w:rPr>
        <w:t>T</w:t>
      </w:r>
      <w:r>
        <w:rPr>
          <w:rFonts w:cs="David" w:hint="cs"/>
          <w:sz w:val="28"/>
          <w:szCs w:val="28"/>
          <w:rtl/>
          <w:lang w:bidi="he-IL"/>
        </w:rPr>
        <w:t xml:space="preserve"> בביאורו בס"ק ל'. שלעולם יש חילוק בין משכון של ישראל לשל גוי. דאף שבשניהם אין הנפקד קונה המשכון, מ"מ משכון ביש ישראל אין אנו צריכין קנין לחייבו בטבילה. אלא כמו מעשה שהיה בכלי מדין שהיה הכלי חלוט ביד הישראל. ואף שאין משכון חלוט כמו שהיה לגמרי אצל מדין. ביאר האג"מ שהלא סיבת המחייב טבילה הוא טומאת העכו"ם שחל על הכלי הבעלות הגוי, ולכן היה שייך לחייב </w:t>
      </w:r>
      <w:r>
        <w:rPr>
          <w:rFonts w:cs="David" w:hint="cs"/>
          <w:sz w:val="28"/>
          <w:szCs w:val="28"/>
          <w:rtl/>
          <w:lang w:bidi="he-IL"/>
        </w:rPr>
        <w:lastRenderedPageBreak/>
        <w:t>אפי' שאולין בטבילה, שיש בהם טומאת עכו"ם. ובזה גילה לנו התורה שאין התורה מקפדת בטומאה זו על תשמיש עראי. אבל כל שהוא חלוט ביד ישראל לתשמיש של קביעות, בזה הקפידה תורה גם בלי בעלות גמורה של קנין.</w:t>
      </w:r>
    </w:p>
    <w:p w:rsidR="004D57CB" w:rsidRDefault="005D0D15" w:rsidP="005D0D15">
      <w:pPr>
        <w:bidi/>
        <w:rPr>
          <w:rFonts w:cs="David"/>
          <w:sz w:val="28"/>
          <w:szCs w:val="28"/>
          <w:rtl/>
          <w:lang w:bidi="he-IL"/>
        </w:rPr>
      </w:pPr>
      <w:r>
        <w:rPr>
          <w:rFonts w:cs="David" w:hint="cs"/>
          <w:sz w:val="28"/>
          <w:szCs w:val="28"/>
          <w:rtl/>
          <w:lang w:bidi="he-IL"/>
        </w:rPr>
        <w:t>טו) אבל מה שחל טומאה רק בשל גויים, זה רק כשהיה כל כולו של גוי כמו מעשה שהיה. ואף כשיש לגוי תשמיש קבועה בכלי כמו במשכון, מ"מ לא חל בזה טומאתו.</w:t>
      </w:r>
      <w:r w:rsidR="00E56033">
        <w:rPr>
          <w:rStyle w:val="FootnoteReference"/>
          <w:rFonts w:cs="David"/>
          <w:sz w:val="28"/>
          <w:szCs w:val="28"/>
          <w:rtl/>
          <w:lang w:bidi="he-IL"/>
        </w:rPr>
        <w:footnoteReference w:id="3"/>
      </w:r>
      <w:r>
        <w:rPr>
          <w:rFonts w:cs="David" w:hint="cs"/>
          <w:sz w:val="28"/>
          <w:szCs w:val="28"/>
          <w:rtl/>
          <w:lang w:bidi="he-IL"/>
        </w:rPr>
        <w:t xml:space="preserve"> </w:t>
      </w:r>
      <w:r w:rsidR="00A57FA2">
        <w:rPr>
          <w:rFonts w:cs="David" w:hint="cs"/>
          <w:sz w:val="28"/>
          <w:szCs w:val="28"/>
          <w:rtl/>
          <w:lang w:bidi="he-IL"/>
        </w:rPr>
        <w:t xml:space="preserve">ולכן גם בהיה דעתו לשקועיה ביד הגוי פטור מטבילה. ואף מה שכתבו הט"ז וש"ך דאם היה דעתו לשקועי' מיד כשנתנו שחייב בכה"ג. ביאר האג"מ שזה רק כשהגיד כן להגוי בשעת מעשה דרק בזה נעשית כמכר והוי חלוט ביד הגוי. דגם מצד הגוי סוף סוף אינו תלוי בקנינו, אלא בזה שהוא חלוט לגמרי בידו. וכמו שמביא הרמ"א שהשר אן מושל שלוקח כלי מישראל חייב שבזה "נשתקע ביד העובד כוכבים". </w:t>
      </w:r>
    </w:p>
    <w:p w:rsidR="00E56033" w:rsidRDefault="004D57CB" w:rsidP="004D57CB">
      <w:pPr>
        <w:bidi/>
        <w:rPr>
          <w:rFonts w:cs="David"/>
          <w:sz w:val="28"/>
          <w:szCs w:val="28"/>
          <w:rtl/>
          <w:lang w:bidi="he-IL"/>
        </w:rPr>
      </w:pPr>
      <w:r>
        <w:rPr>
          <w:rFonts w:cs="David" w:hint="cs"/>
          <w:sz w:val="28"/>
          <w:szCs w:val="28"/>
          <w:rtl/>
          <w:lang w:bidi="he-IL"/>
        </w:rPr>
        <w:t>טז) ויסוד זה מצינו בכמה מקומות בהלכות אלו, שאין הגדרת כ</w:t>
      </w:r>
      <w:r w:rsidR="00454070">
        <w:rPr>
          <w:rFonts w:cs="David" w:hint="cs"/>
          <w:sz w:val="28"/>
          <w:szCs w:val="28"/>
          <w:rtl/>
          <w:lang w:bidi="he-IL"/>
        </w:rPr>
        <w:t xml:space="preserve">לי גוי וישראל תלוי בקנינים אלא על שם מי נקרא הכלי. וכמו הא דסעיף י' שאומן קונה בשבח כלי אינו מספיק לחייב בטבילה, שאין שם הגוי עליו. וקי"ל בסע' ח' ששכירות מגוי פטור מטבילה, אך שהלא שכירות הוא ממכר ליומא. וה"ה בדין משכון אינו תלוי בבעלות אלא </w:t>
      </w:r>
      <w:r w:rsidR="00E56033">
        <w:rPr>
          <w:rFonts w:cs="David" w:hint="cs"/>
          <w:sz w:val="28"/>
          <w:szCs w:val="28"/>
          <w:rtl/>
          <w:lang w:bidi="he-IL"/>
        </w:rPr>
        <w:t>בנקרא שמו עליו כנ"ל.</w:t>
      </w:r>
    </w:p>
    <w:p w:rsidR="002E7E30" w:rsidRDefault="00E56033" w:rsidP="00E56033">
      <w:pPr>
        <w:bidi/>
        <w:rPr>
          <w:rFonts w:cs="David"/>
          <w:sz w:val="28"/>
          <w:szCs w:val="28"/>
          <w:rtl/>
          <w:lang w:bidi="he-IL"/>
        </w:rPr>
      </w:pPr>
      <w:r>
        <w:rPr>
          <w:rFonts w:cs="David" w:hint="cs"/>
          <w:sz w:val="28"/>
          <w:szCs w:val="28"/>
          <w:rtl/>
          <w:lang w:bidi="he-IL"/>
        </w:rPr>
        <w:t>יז)</w:t>
      </w:r>
      <w:r w:rsidR="00BA3CCD">
        <w:rPr>
          <w:rFonts w:cs="David" w:hint="cs"/>
          <w:sz w:val="28"/>
          <w:szCs w:val="28"/>
          <w:rtl/>
          <w:lang w:bidi="he-IL"/>
        </w:rPr>
        <w:t xml:space="preserve"> ולפי זה יש להבין הוראת הערוך השלחן</w:t>
      </w:r>
      <w:r w:rsidR="002D2E58">
        <w:rPr>
          <w:rFonts w:cs="David" w:hint="cs"/>
          <w:sz w:val="28"/>
          <w:szCs w:val="28"/>
          <w:rtl/>
          <w:lang w:bidi="he-IL"/>
        </w:rPr>
        <w:t xml:space="preserve"> [נב']</w:t>
      </w:r>
      <w:r w:rsidR="00BA3CCD">
        <w:rPr>
          <w:rFonts w:cs="David" w:hint="cs"/>
          <w:sz w:val="28"/>
          <w:szCs w:val="28"/>
          <w:rtl/>
          <w:lang w:bidi="he-IL"/>
        </w:rPr>
        <w:t xml:space="preserve"> </w:t>
      </w:r>
      <w:r w:rsidR="00F7238D">
        <w:rPr>
          <w:rFonts w:cs="David" w:hint="cs"/>
          <w:sz w:val="28"/>
          <w:szCs w:val="28"/>
          <w:rtl/>
          <w:lang w:bidi="he-IL"/>
        </w:rPr>
        <w:t>ועוד</w:t>
      </w:r>
      <w:r w:rsidR="00F7238D">
        <w:rPr>
          <w:rStyle w:val="FootnoteReference"/>
          <w:rFonts w:cs="David"/>
          <w:sz w:val="28"/>
          <w:szCs w:val="28"/>
          <w:rtl/>
          <w:lang w:bidi="he-IL"/>
        </w:rPr>
        <w:footnoteReference w:id="4"/>
      </w:r>
      <w:r w:rsidR="00F7238D">
        <w:rPr>
          <w:rFonts w:cs="David" w:hint="cs"/>
          <w:sz w:val="28"/>
          <w:szCs w:val="28"/>
          <w:rtl/>
          <w:lang w:bidi="he-IL"/>
        </w:rPr>
        <w:t xml:space="preserve"> </w:t>
      </w:r>
      <w:r w:rsidR="00BA3CCD">
        <w:rPr>
          <w:rFonts w:cs="David" w:hint="cs"/>
          <w:sz w:val="28"/>
          <w:szCs w:val="28"/>
          <w:rtl/>
          <w:lang w:bidi="he-IL"/>
        </w:rPr>
        <w:t>שמי שמוכר כליו לכוי לפסח עם החמץ שאחר הפסח אינו צריך שוב לטובלם, שהוא לכאו' נגד פסק המחבר כאן. והביאור כנ"ל, שמכירה כזו שהוא לחומרא [דמה"ת ביטול מהני] וכעין הערמה, לא פקע מהכלי שם ישראל, ובפרט שכ"ע ידעי שכוונתו לקנותו שוב אחר פסח.</w:t>
      </w:r>
      <w:r w:rsidR="00F7238D">
        <w:rPr>
          <w:rFonts w:cs="David" w:hint="cs"/>
          <w:sz w:val="28"/>
          <w:szCs w:val="28"/>
          <w:rtl/>
          <w:lang w:bidi="he-IL"/>
        </w:rPr>
        <w:t xml:space="preserve"> ומ"מ החכמ"א [עג' </w:t>
      </w:r>
      <w:r w:rsidR="00F7238D">
        <w:rPr>
          <w:rFonts w:cs="David"/>
          <w:sz w:val="28"/>
          <w:szCs w:val="28"/>
          <w:rtl/>
          <w:lang w:bidi="he-IL"/>
        </w:rPr>
        <w:t>–</w:t>
      </w:r>
      <w:r w:rsidR="00F7238D">
        <w:rPr>
          <w:rFonts w:cs="David" w:hint="cs"/>
          <w:sz w:val="28"/>
          <w:szCs w:val="28"/>
          <w:rtl/>
          <w:lang w:bidi="he-IL"/>
        </w:rPr>
        <w:t xml:space="preserve"> ד'], קיצוש"ע [קי"ד </w:t>
      </w:r>
      <w:r w:rsidR="00F7238D">
        <w:rPr>
          <w:rFonts w:cs="David"/>
          <w:sz w:val="28"/>
          <w:szCs w:val="28"/>
          <w:rtl/>
          <w:lang w:bidi="he-IL"/>
        </w:rPr>
        <w:t>–</w:t>
      </w:r>
      <w:r w:rsidR="00F7238D">
        <w:rPr>
          <w:rFonts w:cs="David" w:hint="cs"/>
          <w:sz w:val="28"/>
          <w:szCs w:val="28"/>
          <w:rtl/>
          <w:lang w:bidi="he-IL"/>
        </w:rPr>
        <w:t xml:space="preserve"> ב'] ועוד מחמירין בזה, וכן נתפשט המנהג לא למכור הכלים לגוי.</w:t>
      </w:r>
    </w:p>
    <w:p w:rsidR="00B8629A" w:rsidRDefault="002E7E30" w:rsidP="002E7E30">
      <w:pPr>
        <w:bidi/>
        <w:rPr>
          <w:rFonts w:cs="David"/>
          <w:sz w:val="28"/>
          <w:szCs w:val="28"/>
          <w:rtl/>
          <w:lang w:bidi="he-IL"/>
        </w:rPr>
      </w:pPr>
      <w:r>
        <w:rPr>
          <w:rFonts w:cs="David" w:hint="cs"/>
          <w:sz w:val="28"/>
          <w:szCs w:val="28"/>
          <w:rtl/>
          <w:lang w:bidi="he-IL"/>
        </w:rPr>
        <w:t xml:space="preserve">יח) </w:t>
      </w:r>
      <w:r w:rsidR="00362E71">
        <w:rPr>
          <w:rFonts w:cs="David" w:hint="cs"/>
          <w:sz w:val="28"/>
          <w:szCs w:val="28"/>
          <w:rtl/>
          <w:lang w:bidi="he-IL"/>
        </w:rPr>
        <w:t>ועוד נ"מ בזה הוא במה שמבואר כאן שכלי שיש בו שותפות ישראל עם גוי פטור מטבילה, שא"א להוציאו מטומאתו ע"י טבילה שעדיין יש לגוי חלק בו.</w:t>
      </w:r>
      <w:r w:rsidR="00057DC8">
        <w:rPr>
          <w:rFonts w:cs="David" w:hint="cs"/>
          <w:sz w:val="28"/>
          <w:szCs w:val="28"/>
          <w:rtl/>
          <w:lang w:bidi="he-IL"/>
        </w:rPr>
        <w:t xml:space="preserve"> ויש לדון באופן שיש לגוי חלק קטן מאד אבל בעיקר הכחי נקרא על שם ישראלף שלכאו' יש מקום לומר שחייב בטבילה, וצ"ע. ובבתי חולים בא"י שהם ברשות המדינה שהוא בעצם בבעלות כל אזרחי המדינה, דעת כמה פוסקים [וכן ראיתי בשם הגריש"א שליט"א] שפטורים ממזוזה משום שיש בהם שותפות של גויים שהם ג"כ אזרחי המדינה. אבל לענין טבילה</w:t>
      </w:r>
      <w:r w:rsidR="00224F2E">
        <w:rPr>
          <w:rFonts w:cs="David" w:hint="cs"/>
          <w:sz w:val="28"/>
          <w:szCs w:val="28"/>
          <w:rtl/>
          <w:lang w:bidi="he-IL"/>
        </w:rPr>
        <w:t xml:space="preserve"> בכליהם</w:t>
      </w:r>
      <w:r w:rsidR="00057DC8">
        <w:rPr>
          <w:rFonts w:cs="David" w:hint="cs"/>
          <w:sz w:val="28"/>
          <w:szCs w:val="28"/>
          <w:rtl/>
          <w:lang w:bidi="he-IL"/>
        </w:rPr>
        <w:t xml:space="preserve"> יש לחלק כנ"ל שלעולם שם ישראל עליו וחייב בטבילה.</w:t>
      </w:r>
      <w:r w:rsidR="00F7238D">
        <w:rPr>
          <w:rFonts w:cs="David" w:hint="cs"/>
          <w:sz w:val="28"/>
          <w:szCs w:val="28"/>
          <w:rtl/>
          <w:lang w:bidi="he-IL"/>
        </w:rPr>
        <w:t xml:space="preserve"> </w:t>
      </w:r>
    </w:p>
    <w:p w:rsidR="00360603" w:rsidRPr="00CA2776" w:rsidRDefault="00B8629A" w:rsidP="00B8629A">
      <w:pPr>
        <w:bidi/>
        <w:rPr>
          <w:rFonts w:cs="David"/>
          <w:sz w:val="28"/>
          <w:szCs w:val="28"/>
          <w:lang w:bidi="he-IL"/>
        </w:rPr>
      </w:pPr>
      <w:r>
        <w:rPr>
          <w:rFonts w:cs="David" w:hint="cs"/>
          <w:sz w:val="28"/>
          <w:szCs w:val="28"/>
          <w:rtl/>
          <w:lang w:bidi="he-IL"/>
        </w:rPr>
        <w:t>יט) והנה, גר שנתגייר האם צריך להטביל כליו לא נתבאר להדיא בדברי הפוסקים הראשונים. ובאחרונים כתבו הרבה בזה ומסקנת רוב אחרונים שיש לו להטביל כליו</w:t>
      </w:r>
      <w:r w:rsidR="007015CE">
        <w:rPr>
          <w:rFonts w:cs="David" w:hint="cs"/>
          <w:sz w:val="28"/>
          <w:szCs w:val="28"/>
          <w:rtl/>
          <w:lang w:bidi="he-IL"/>
        </w:rPr>
        <w:t xml:space="preserve"> בלא ברכה.</w:t>
      </w:r>
      <w:r w:rsidR="003B22F5">
        <w:rPr>
          <w:rFonts w:cs="David" w:hint="cs"/>
          <w:sz w:val="28"/>
          <w:szCs w:val="28"/>
          <w:rtl/>
          <w:lang w:bidi="he-IL"/>
        </w:rPr>
        <w:t xml:space="preserve"> והטעם לפטור כתבו, שאין זה דומיא למעשה שהיה שהכלים הלכו מרשות אחד להשני, משא"כ הכא שנשארים אצלו. ואף שלכאו' אין לנו לדמות ולחדש מה צריך להיות דומיא ומה לא צריך, כאן יש מקום לדון לפטור. דהנה, קיי"ל ששותף הקונה חלקו בכלי משותף הגוי, חייב טבילה [ש"ך ס"ק כו'] ובפשוטו עם ברכה. ובפר"ת ס"ק יב' וכן בשו"ת שואל ומשיב [קמא ב' - עג'] דעתם שלא לברך שהלא אין זה דומיא למעשה שהיה. וממה שלא קי"ל כוותיהו מבואר שאין בזה </w:t>
      </w:r>
      <w:r w:rsidR="003B22F5">
        <w:rPr>
          <w:rFonts w:cs="David" w:hint="cs"/>
          <w:sz w:val="28"/>
          <w:szCs w:val="28"/>
          <w:rtl/>
          <w:lang w:bidi="he-IL"/>
        </w:rPr>
        <w:lastRenderedPageBreak/>
        <w:t xml:space="preserve">חסרון של מעשה שהיה. דהיינו שמה שחסר </w:t>
      </w:r>
      <w:r w:rsidR="003B22F5" w:rsidRPr="003B22F5">
        <w:rPr>
          <w:rFonts w:cs="David" w:hint="cs"/>
          <w:sz w:val="28"/>
          <w:szCs w:val="28"/>
          <w:u w:val="single"/>
          <w:rtl/>
          <w:lang w:bidi="he-IL"/>
        </w:rPr>
        <w:t>כמות</w:t>
      </w:r>
      <w:r w:rsidR="003B22F5">
        <w:rPr>
          <w:rFonts w:cs="David" w:hint="cs"/>
          <w:sz w:val="28"/>
          <w:szCs w:val="28"/>
          <w:rtl/>
          <w:lang w:bidi="he-IL"/>
        </w:rPr>
        <w:t xml:space="preserve"> בבעלות הגוי אין זה עיקרי למעשה שהיה. ומה שמצינו </w:t>
      </w:r>
      <w:r w:rsidR="00E46650">
        <w:rPr>
          <w:rFonts w:cs="David" w:hint="cs"/>
          <w:sz w:val="28"/>
          <w:szCs w:val="28"/>
          <w:rtl/>
          <w:lang w:bidi="he-IL"/>
        </w:rPr>
        <w:t>הקפדה למע</w:t>
      </w:r>
      <w:r w:rsidR="00567C8E">
        <w:rPr>
          <w:rFonts w:cs="David" w:hint="cs"/>
          <w:sz w:val="28"/>
          <w:szCs w:val="28"/>
          <w:rtl/>
          <w:lang w:bidi="he-IL"/>
        </w:rPr>
        <w:t>שה שהיה היינו רק במהות הבעלות וכ</w:t>
      </w:r>
      <w:r w:rsidR="00E46650">
        <w:rPr>
          <w:rFonts w:cs="David" w:hint="cs"/>
          <w:sz w:val="28"/>
          <w:szCs w:val="28"/>
          <w:rtl/>
          <w:lang w:bidi="he-IL"/>
        </w:rPr>
        <w:t>מו מה שכתוב בגמ' ששאולה פטור שאינו דומיא למעשה שהיה.</w:t>
      </w:r>
      <w:r w:rsidR="00567C8E">
        <w:rPr>
          <w:rFonts w:cs="David" w:hint="cs"/>
          <w:sz w:val="28"/>
          <w:szCs w:val="28"/>
          <w:rtl/>
          <w:lang w:bidi="he-IL"/>
        </w:rPr>
        <w:t xml:space="preserve"> והיינו שהבעלות של גוי הוא מה שמחייב טבילה [כשקנאו ישראל]. ובגר הלא עצם הבעלות המחייב משתנה ונעשית בעלות שאינו מחייב. ולכן בזה יש מקום לומר שכמו שאולה חסר בעלות של ישראל לחייב, וכמו שמשכון ביד גוי אינו בעלות לחייב, ה"ה כאן הבעלות של גוי נשתנה ופקע, וממילא אין כאן חיוב טבילה. </w:t>
      </w:r>
      <w:r w:rsidR="00E46650">
        <w:rPr>
          <w:rFonts w:cs="David" w:hint="cs"/>
          <w:sz w:val="28"/>
          <w:szCs w:val="28"/>
          <w:rtl/>
          <w:lang w:bidi="he-IL"/>
        </w:rPr>
        <w:t xml:space="preserve"> </w:t>
      </w:r>
      <w:r w:rsidR="003B22F5">
        <w:rPr>
          <w:rFonts w:cs="David" w:hint="cs"/>
          <w:sz w:val="28"/>
          <w:szCs w:val="28"/>
          <w:rtl/>
          <w:lang w:bidi="he-IL"/>
        </w:rPr>
        <w:t xml:space="preserve"> </w:t>
      </w:r>
      <w:r w:rsidR="00E56033">
        <w:rPr>
          <w:rFonts w:cs="David" w:hint="cs"/>
          <w:sz w:val="28"/>
          <w:szCs w:val="28"/>
          <w:rtl/>
          <w:lang w:bidi="he-IL"/>
        </w:rPr>
        <w:t xml:space="preserve"> </w:t>
      </w:r>
      <w:r w:rsidR="00360603">
        <w:rPr>
          <w:rFonts w:cs="David" w:hint="cs"/>
          <w:sz w:val="28"/>
          <w:szCs w:val="28"/>
          <w:rtl/>
          <w:lang w:bidi="he-IL"/>
        </w:rPr>
        <w:t xml:space="preserve"> </w:t>
      </w:r>
    </w:p>
    <w:sectPr w:rsidR="00360603" w:rsidRPr="00CA2776"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66B" w:rsidRDefault="00CD466B" w:rsidP="004C30FC">
      <w:pPr>
        <w:spacing w:after="0" w:line="240" w:lineRule="auto"/>
      </w:pPr>
      <w:r>
        <w:separator/>
      </w:r>
    </w:p>
  </w:endnote>
  <w:endnote w:type="continuationSeparator" w:id="0">
    <w:p w:rsidR="00CD466B" w:rsidRDefault="00CD466B" w:rsidP="004C3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66B" w:rsidRDefault="00CD466B" w:rsidP="004C30FC">
      <w:pPr>
        <w:spacing w:after="0" w:line="240" w:lineRule="auto"/>
      </w:pPr>
      <w:r>
        <w:separator/>
      </w:r>
    </w:p>
  </w:footnote>
  <w:footnote w:type="continuationSeparator" w:id="0">
    <w:p w:rsidR="00CD466B" w:rsidRDefault="00CD466B" w:rsidP="004C30FC">
      <w:pPr>
        <w:spacing w:after="0" w:line="240" w:lineRule="auto"/>
      </w:pPr>
      <w:r>
        <w:continuationSeparator/>
      </w:r>
    </w:p>
  </w:footnote>
  <w:footnote w:id="1">
    <w:p w:rsidR="004C30FC" w:rsidRDefault="004C30FC" w:rsidP="004C30FC">
      <w:pPr>
        <w:pStyle w:val="FootnoteText"/>
        <w:bidi/>
        <w:rPr>
          <w:rtl/>
          <w:lang w:bidi="he-IL"/>
        </w:rPr>
      </w:pPr>
      <w:r>
        <w:rPr>
          <w:rStyle w:val="FootnoteReference"/>
        </w:rPr>
        <w:footnoteRef/>
      </w:r>
      <w:r>
        <w:t xml:space="preserve"> </w:t>
      </w:r>
      <w:r>
        <w:rPr>
          <w:rFonts w:hint="cs"/>
          <w:rtl/>
          <w:lang w:bidi="he-IL"/>
        </w:rPr>
        <w:t xml:space="preserve"> </w:t>
      </w:r>
      <w:r w:rsidRPr="004C30FC">
        <w:rPr>
          <w:rFonts w:cs="David" w:hint="cs"/>
          <w:sz w:val="22"/>
          <w:szCs w:val="22"/>
          <w:rtl/>
          <w:lang w:bidi="he-IL"/>
        </w:rPr>
        <w:t>ואפשר שכל ההו"א של זוזא דסרבלא הוא דווקא באופן שמשתמש בו לאכילה, ואולי בזה לא נסתפק הגמ' שדין טבילה הוא כדי להכשיר כלי לאכילה, וצ"ע בזה, ומ"מ למסקנא נראה ברור שהפטור בכל ענין נאמר.</w:t>
      </w:r>
    </w:p>
  </w:footnote>
  <w:footnote w:id="2">
    <w:p w:rsidR="00AC655E" w:rsidRDefault="00AC655E" w:rsidP="00AC655E">
      <w:pPr>
        <w:pStyle w:val="FootnoteText"/>
        <w:bidi/>
        <w:rPr>
          <w:rtl/>
          <w:lang w:bidi="he-IL"/>
        </w:rPr>
      </w:pPr>
      <w:r>
        <w:rPr>
          <w:rStyle w:val="FootnoteReference"/>
        </w:rPr>
        <w:footnoteRef/>
      </w:r>
      <w:r>
        <w:t xml:space="preserve"> </w:t>
      </w:r>
      <w:r>
        <w:rPr>
          <w:rFonts w:hint="cs"/>
          <w:rtl/>
          <w:lang w:bidi="he-IL"/>
        </w:rPr>
        <w:t xml:space="preserve"> ועי' מטה יהונתן שם בש"</w:t>
      </w:r>
      <w:r>
        <w:rPr>
          <w:rFonts w:hint="cs"/>
          <w:lang w:bidi="he-IL"/>
        </w:rPr>
        <w:t>G</w:t>
      </w:r>
      <w:r>
        <w:rPr>
          <w:rFonts w:hint="cs"/>
          <w:rtl/>
          <w:lang w:bidi="he-IL"/>
        </w:rPr>
        <w:t xml:space="preserve"> שאה"נ אם הוא רוצה להשתמש בו כשהוא אצל הגוי חייב טבילה, וצ"ע דבזה לכאו' אינו אלא שואל שפטור מטבילה, וצ"ע ויש ליישב.</w:t>
      </w:r>
    </w:p>
  </w:footnote>
  <w:footnote w:id="3">
    <w:p w:rsidR="00E56033" w:rsidRDefault="00E56033" w:rsidP="00E56033">
      <w:pPr>
        <w:pStyle w:val="FootnoteText"/>
        <w:bidi/>
        <w:rPr>
          <w:rtl/>
          <w:lang w:bidi="he-IL"/>
        </w:rPr>
      </w:pPr>
      <w:r>
        <w:rPr>
          <w:rStyle w:val="FootnoteReference"/>
        </w:rPr>
        <w:footnoteRef/>
      </w:r>
      <w:r>
        <w:t xml:space="preserve"> </w:t>
      </w:r>
      <w:r>
        <w:rPr>
          <w:rFonts w:hint="cs"/>
          <w:rtl/>
          <w:lang w:bidi="he-IL"/>
        </w:rPr>
        <w:t xml:space="preserve"> ועל פי יסוד זה שבעי החלטה גמורה ביד גוי לחול הטומאה, עי"ש באג"מ שיש להסתפק דאולי כל טומאה זו שייך רק כשהיה מתחילה כלי גוי  והלך ליד ישראל. אבל כלי שעשה ישראל אולי לא שייך אח"כ טומאת גוי גם כשהוא חלוט בידו לגמרי, ולכן הורה בכה"ג לטבול בלי ברכה, והדברים מחודשים מאד.</w:t>
      </w:r>
    </w:p>
  </w:footnote>
  <w:footnote w:id="4">
    <w:p w:rsidR="00F7238D" w:rsidRDefault="00F7238D" w:rsidP="00F7238D">
      <w:pPr>
        <w:pStyle w:val="FootnoteText"/>
        <w:bidi/>
        <w:rPr>
          <w:rtl/>
          <w:lang w:bidi="he-IL"/>
        </w:rPr>
      </w:pPr>
      <w:r>
        <w:rPr>
          <w:rStyle w:val="FootnoteReference"/>
        </w:rPr>
        <w:footnoteRef/>
      </w:r>
      <w:r>
        <w:t xml:space="preserve"> </w:t>
      </w:r>
      <w:r>
        <w:rPr>
          <w:rFonts w:hint="cs"/>
          <w:rtl/>
          <w:lang w:bidi="he-IL"/>
        </w:rPr>
        <w:t xml:space="preserve"> כן הוא בשו"ת האלף לך שלמה יו"ד סי' קצ"ד</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51AF"/>
    <w:rsid w:val="00057DC8"/>
    <w:rsid w:val="0006381A"/>
    <w:rsid w:val="000D51AF"/>
    <w:rsid w:val="000D5645"/>
    <w:rsid w:val="00224F2E"/>
    <w:rsid w:val="00242494"/>
    <w:rsid w:val="00284709"/>
    <w:rsid w:val="002C2797"/>
    <w:rsid w:val="002D07C5"/>
    <w:rsid w:val="002D2E58"/>
    <w:rsid w:val="002D33AF"/>
    <w:rsid w:val="002E7E30"/>
    <w:rsid w:val="00327D9B"/>
    <w:rsid w:val="00360603"/>
    <w:rsid w:val="00362E71"/>
    <w:rsid w:val="003B22F5"/>
    <w:rsid w:val="003B6638"/>
    <w:rsid w:val="00454070"/>
    <w:rsid w:val="00463829"/>
    <w:rsid w:val="004C30FC"/>
    <w:rsid w:val="004D57CB"/>
    <w:rsid w:val="00567C8E"/>
    <w:rsid w:val="005D0D15"/>
    <w:rsid w:val="00625FDB"/>
    <w:rsid w:val="0068114D"/>
    <w:rsid w:val="007015CE"/>
    <w:rsid w:val="007F2D40"/>
    <w:rsid w:val="00896E5D"/>
    <w:rsid w:val="008A4DD3"/>
    <w:rsid w:val="009032AB"/>
    <w:rsid w:val="00954500"/>
    <w:rsid w:val="00A332E8"/>
    <w:rsid w:val="00A57FA2"/>
    <w:rsid w:val="00AC655E"/>
    <w:rsid w:val="00AC7DD7"/>
    <w:rsid w:val="00B8629A"/>
    <w:rsid w:val="00BA3CCD"/>
    <w:rsid w:val="00C93FC3"/>
    <w:rsid w:val="00CA2776"/>
    <w:rsid w:val="00CD466B"/>
    <w:rsid w:val="00D35A1B"/>
    <w:rsid w:val="00D70188"/>
    <w:rsid w:val="00DC0EEF"/>
    <w:rsid w:val="00DF62A0"/>
    <w:rsid w:val="00E3110C"/>
    <w:rsid w:val="00E46650"/>
    <w:rsid w:val="00E47A08"/>
    <w:rsid w:val="00E549A5"/>
    <w:rsid w:val="00E56033"/>
    <w:rsid w:val="00E940A4"/>
    <w:rsid w:val="00EC1EAB"/>
    <w:rsid w:val="00F43827"/>
    <w:rsid w:val="00F7238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3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0FC"/>
    <w:rPr>
      <w:sz w:val="20"/>
      <w:szCs w:val="20"/>
    </w:rPr>
  </w:style>
  <w:style w:type="character" w:styleId="FootnoteReference">
    <w:name w:val="footnote reference"/>
    <w:basedOn w:val="DefaultParagraphFont"/>
    <w:uiPriority w:val="99"/>
    <w:semiHidden/>
    <w:unhideWhenUsed/>
    <w:rsid w:val="004C30F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647A4-47CB-47F0-B738-4005EF51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ladersh</dc:creator>
  <cp:lastModifiedBy>ladersh</cp:lastModifiedBy>
  <cp:revision>37</cp:revision>
  <dcterms:created xsi:type="dcterms:W3CDTF">2012-05-30T17:36:00Z</dcterms:created>
  <dcterms:modified xsi:type="dcterms:W3CDTF">2012-06-11T18:42:00Z</dcterms:modified>
</cp:coreProperties>
</file>